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1AC2" w:rsidRPr="001A40E2" w:rsidRDefault="00546980" w:rsidP="00201AC2">
      <w:pPr>
        <w:spacing w:after="180"/>
        <w:rPr>
          <w:b/>
          <w:sz w:val="44"/>
          <w:szCs w:val="44"/>
        </w:rPr>
      </w:pPr>
      <w:r w:rsidRPr="00546980">
        <w:rPr>
          <w:b/>
          <w:sz w:val="44"/>
          <w:szCs w:val="44"/>
        </w:rPr>
        <w:t>Ecosystem connections role play</w:t>
      </w:r>
    </w:p>
    <w:p w:rsidR="00201AC2" w:rsidRDefault="00201AC2" w:rsidP="00201AC2">
      <w:pPr>
        <w:spacing w:after="18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4"/>
        <w:gridCol w:w="2254"/>
        <w:gridCol w:w="2254"/>
        <w:gridCol w:w="2254"/>
      </w:tblGrid>
      <w:tr w:rsidR="00713853" w:rsidTr="005D59BC">
        <w:tc>
          <w:tcPr>
            <w:tcW w:w="2254" w:type="dxa"/>
            <w:vAlign w:val="bottom"/>
          </w:tcPr>
          <w:p w:rsidR="00713853" w:rsidRDefault="005D59BC" w:rsidP="005D59BC">
            <w:pPr>
              <w:spacing w:after="180"/>
              <w:jc w:val="center"/>
            </w:pPr>
            <w:r>
              <w:rPr>
                <w:noProof/>
                <w:lang w:eastAsia="en-GB"/>
              </w:rPr>
              <w:drawing>
                <wp:inline distT="0" distB="0" distL="0" distR="0">
                  <wp:extent cx="743006" cy="1439934"/>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aize plant.png"/>
                          <pic:cNvPicPr/>
                        </pic:nvPicPr>
                        <pic:blipFill>
                          <a:blip r:embed="rId7">
                            <a:extLst>
                              <a:ext uri="{28A0092B-C50C-407E-A947-70E740481C1C}">
                                <a14:useLocalDpi xmlns:a14="http://schemas.microsoft.com/office/drawing/2010/main" val="0"/>
                              </a:ext>
                            </a:extLst>
                          </a:blip>
                          <a:stretch>
                            <a:fillRect/>
                          </a:stretch>
                        </pic:blipFill>
                        <pic:spPr>
                          <a:xfrm>
                            <a:off x="0" y="0"/>
                            <a:ext cx="743006" cy="1439934"/>
                          </a:xfrm>
                          <a:prstGeom prst="rect">
                            <a:avLst/>
                          </a:prstGeom>
                        </pic:spPr>
                      </pic:pic>
                    </a:graphicData>
                  </a:graphic>
                </wp:inline>
              </w:drawing>
            </w:r>
          </w:p>
        </w:tc>
        <w:tc>
          <w:tcPr>
            <w:tcW w:w="2254" w:type="dxa"/>
            <w:vAlign w:val="bottom"/>
          </w:tcPr>
          <w:p w:rsidR="00713853" w:rsidRDefault="005D59BC" w:rsidP="005D59BC">
            <w:pPr>
              <w:spacing w:after="180"/>
              <w:jc w:val="center"/>
            </w:pPr>
            <w:r>
              <w:rPr>
                <w:noProof/>
                <w:lang w:eastAsia="en-GB"/>
              </w:rPr>
              <w:drawing>
                <wp:inline distT="0" distB="0" distL="0" distR="0">
                  <wp:extent cx="547919" cy="360000"/>
                  <wp:effectExtent l="0" t="0" r="508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oney-bee.jpg"/>
                          <pic:cNvPicPr/>
                        </pic:nvPicPr>
                        <pic:blipFill>
                          <a:blip r:embed="rId8">
                            <a:extLst>
                              <a:ext uri="{28A0092B-C50C-407E-A947-70E740481C1C}">
                                <a14:useLocalDpi xmlns:a14="http://schemas.microsoft.com/office/drawing/2010/main" val="0"/>
                              </a:ext>
                            </a:extLst>
                          </a:blip>
                          <a:stretch>
                            <a:fillRect/>
                          </a:stretch>
                        </pic:blipFill>
                        <pic:spPr>
                          <a:xfrm>
                            <a:off x="0" y="0"/>
                            <a:ext cx="547919" cy="360000"/>
                          </a:xfrm>
                          <a:prstGeom prst="rect">
                            <a:avLst/>
                          </a:prstGeom>
                        </pic:spPr>
                      </pic:pic>
                    </a:graphicData>
                  </a:graphic>
                </wp:inline>
              </w:drawing>
            </w:r>
          </w:p>
        </w:tc>
        <w:tc>
          <w:tcPr>
            <w:tcW w:w="2254" w:type="dxa"/>
            <w:vAlign w:val="bottom"/>
          </w:tcPr>
          <w:p w:rsidR="00713853" w:rsidRDefault="005D59BC" w:rsidP="005D59BC">
            <w:pPr>
              <w:spacing w:after="180"/>
              <w:jc w:val="center"/>
            </w:pPr>
            <w:r>
              <w:rPr>
                <w:noProof/>
                <w:lang w:eastAsia="en-GB"/>
              </w:rPr>
              <w:drawing>
                <wp:inline distT="0" distB="0" distL="0" distR="0">
                  <wp:extent cx="720000" cy="519187"/>
                  <wp:effectExtent l="0" t="0" r="444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lackbird.jpg"/>
                          <pic:cNvPicPr/>
                        </pic:nvPicPr>
                        <pic:blipFill>
                          <a:blip r:embed="rId9">
                            <a:extLst>
                              <a:ext uri="{28A0092B-C50C-407E-A947-70E740481C1C}">
                                <a14:useLocalDpi xmlns:a14="http://schemas.microsoft.com/office/drawing/2010/main" val="0"/>
                              </a:ext>
                            </a:extLst>
                          </a:blip>
                          <a:stretch>
                            <a:fillRect/>
                          </a:stretch>
                        </pic:blipFill>
                        <pic:spPr>
                          <a:xfrm>
                            <a:off x="0" y="0"/>
                            <a:ext cx="720000" cy="519187"/>
                          </a:xfrm>
                          <a:prstGeom prst="rect">
                            <a:avLst/>
                          </a:prstGeom>
                        </pic:spPr>
                      </pic:pic>
                    </a:graphicData>
                  </a:graphic>
                </wp:inline>
              </w:drawing>
            </w:r>
          </w:p>
        </w:tc>
        <w:tc>
          <w:tcPr>
            <w:tcW w:w="2254" w:type="dxa"/>
            <w:vAlign w:val="bottom"/>
          </w:tcPr>
          <w:p w:rsidR="00713853" w:rsidRDefault="005D59BC" w:rsidP="005D59BC">
            <w:pPr>
              <w:spacing w:after="180"/>
              <w:jc w:val="center"/>
            </w:pPr>
            <w:r>
              <w:rPr>
                <w:noProof/>
                <w:lang w:eastAsia="en-GB"/>
              </w:rPr>
              <w:drawing>
                <wp:inline distT="0" distB="0" distL="0" distR="0">
                  <wp:extent cx="607922" cy="1007953"/>
                  <wp:effectExtent l="0" t="0" r="1905"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wl.jpg"/>
                          <pic:cNvPicPr/>
                        </pic:nvPicPr>
                        <pic:blipFill>
                          <a:blip r:embed="rId10">
                            <a:extLst>
                              <a:ext uri="{28A0092B-C50C-407E-A947-70E740481C1C}">
                                <a14:useLocalDpi xmlns:a14="http://schemas.microsoft.com/office/drawing/2010/main" val="0"/>
                              </a:ext>
                            </a:extLst>
                          </a:blip>
                          <a:stretch>
                            <a:fillRect/>
                          </a:stretch>
                        </pic:blipFill>
                        <pic:spPr>
                          <a:xfrm>
                            <a:off x="0" y="0"/>
                            <a:ext cx="607922" cy="1007953"/>
                          </a:xfrm>
                          <a:prstGeom prst="rect">
                            <a:avLst/>
                          </a:prstGeom>
                        </pic:spPr>
                      </pic:pic>
                    </a:graphicData>
                  </a:graphic>
                </wp:inline>
              </w:drawing>
            </w:r>
          </w:p>
        </w:tc>
      </w:tr>
      <w:tr w:rsidR="00713853" w:rsidTr="005D59BC">
        <w:tc>
          <w:tcPr>
            <w:tcW w:w="2254" w:type="dxa"/>
          </w:tcPr>
          <w:p w:rsidR="005D59BC" w:rsidRDefault="005D59BC" w:rsidP="005D59BC">
            <w:pPr>
              <w:jc w:val="center"/>
            </w:pPr>
            <w:r>
              <w:t>flowering plants</w:t>
            </w:r>
          </w:p>
          <w:p w:rsidR="00713853" w:rsidRDefault="005D59BC" w:rsidP="005D59BC">
            <w:pPr>
              <w:spacing w:after="180"/>
              <w:jc w:val="center"/>
            </w:pPr>
            <w:r>
              <w:t>and crops</w:t>
            </w:r>
          </w:p>
        </w:tc>
        <w:tc>
          <w:tcPr>
            <w:tcW w:w="2254" w:type="dxa"/>
          </w:tcPr>
          <w:p w:rsidR="00713853" w:rsidRDefault="005D59BC" w:rsidP="005D59BC">
            <w:pPr>
              <w:spacing w:after="180"/>
              <w:jc w:val="center"/>
            </w:pPr>
            <w:r>
              <w:t>bees</w:t>
            </w:r>
          </w:p>
        </w:tc>
        <w:tc>
          <w:tcPr>
            <w:tcW w:w="2254" w:type="dxa"/>
          </w:tcPr>
          <w:p w:rsidR="00713853" w:rsidRDefault="005D59BC" w:rsidP="005D59BC">
            <w:pPr>
              <w:spacing w:after="180"/>
              <w:jc w:val="center"/>
            </w:pPr>
            <w:r>
              <w:t>blackbirds</w:t>
            </w:r>
          </w:p>
        </w:tc>
        <w:tc>
          <w:tcPr>
            <w:tcW w:w="2254" w:type="dxa"/>
          </w:tcPr>
          <w:p w:rsidR="00713853" w:rsidRDefault="005D59BC" w:rsidP="005D59BC">
            <w:pPr>
              <w:spacing w:after="180"/>
              <w:jc w:val="center"/>
            </w:pPr>
            <w:r>
              <w:t>owls</w:t>
            </w:r>
          </w:p>
        </w:tc>
      </w:tr>
    </w:tbl>
    <w:p w:rsidR="00040199" w:rsidRDefault="00040199" w:rsidP="00040199">
      <w:pPr>
        <w:spacing w:after="18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5"/>
        <w:gridCol w:w="3005"/>
        <w:gridCol w:w="3006"/>
      </w:tblGrid>
      <w:tr w:rsidR="005D59BC" w:rsidTr="005D59BC">
        <w:tc>
          <w:tcPr>
            <w:tcW w:w="3005" w:type="dxa"/>
            <w:vAlign w:val="bottom"/>
          </w:tcPr>
          <w:p w:rsidR="005D59BC" w:rsidRDefault="005D59BC" w:rsidP="005D59BC">
            <w:pPr>
              <w:spacing w:after="180"/>
              <w:jc w:val="center"/>
            </w:pPr>
            <w:r>
              <w:rPr>
                <w:noProof/>
                <w:lang w:eastAsia="en-GB"/>
              </w:rPr>
              <w:drawing>
                <wp:inline distT="0" distB="0" distL="0" distR="0">
                  <wp:extent cx="1734939" cy="900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g-48368_640.png"/>
                          <pic:cNvPicPr/>
                        </pic:nvPicPr>
                        <pic:blipFill>
                          <a:blip r:embed="rId11">
                            <a:extLst>
                              <a:ext uri="{28A0092B-C50C-407E-A947-70E740481C1C}">
                                <a14:useLocalDpi xmlns:a14="http://schemas.microsoft.com/office/drawing/2010/main" val="0"/>
                              </a:ext>
                            </a:extLst>
                          </a:blip>
                          <a:stretch>
                            <a:fillRect/>
                          </a:stretch>
                        </pic:blipFill>
                        <pic:spPr>
                          <a:xfrm>
                            <a:off x="0" y="0"/>
                            <a:ext cx="1734939" cy="900000"/>
                          </a:xfrm>
                          <a:prstGeom prst="rect">
                            <a:avLst/>
                          </a:prstGeom>
                        </pic:spPr>
                      </pic:pic>
                    </a:graphicData>
                  </a:graphic>
                </wp:inline>
              </w:drawing>
            </w:r>
          </w:p>
        </w:tc>
        <w:tc>
          <w:tcPr>
            <w:tcW w:w="3005" w:type="dxa"/>
            <w:vAlign w:val="bottom"/>
          </w:tcPr>
          <w:p w:rsidR="005D59BC" w:rsidRDefault="005D59BC" w:rsidP="005D59BC">
            <w:pPr>
              <w:spacing w:after="180"/>
              <w:jc w:val="center"/>
            </w:pPr>
            <w:r>
              <w:rPr>
                <w:noProof/>
                <w:lang w:eastAsia="en-GB"/>
              </w:rPr>
              <w:drawing>
                <wp:inline distT="0" distB="0" distL="0" distR="0">
                  <wp:extent cx="426800" cy="1439850"/>
                  <wp:effectExtent l="0" t="0" r="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an.jpg"/>
                          <pic:cNvPicPr/>
                        </pic:nvPicPr>
                        <pic:blipFill>
                          <a:blip r:embed="rId12">
                            <a:extLst>
                              <a:ext uri="{28A0092B-C50C-407E-A947-70E740481C1C}">
                                <a14:useLocalDpi xmlns:a14="http://schemas.microsoft.com/office/drawing/2010/main" val="0"/>
                              </a:ext>
                            </a:extLst>
                          </a:blip>
                          <a:stretch>
                            <a:fillRect/>
                          </a:stretch>
                        </pic:blipFill>
                        <pic:spPr>
                          <a:xfrm>
                            <a:off x="0" y="0"/>
                            <a:ext cx="426800" cy="1439850"/>
                          </a:xfrm>
                          <a:prstGeom prst="rect">
                            <a:avLst/>
                          </a:prstGeom>
                        </pic:spPr>
                      </pic:pic>
                    </a:graphicData>
                  </a:graphic>
                </wp:inline>
              </w:drawing>
            </w:r>
          </w:p>
        </w:tc>
        <w:tc>
          <w:tcPr>
            <w:tcW w:w="3006" w:type="dxa"/>
            <w:vAlign w:val="bottom"/>
          </w:tcPr>
          <w:p w:rsidR="005D59BC" w:rsidRDefault="005D59BC" w:rsidP="005D59BC">
            <w:pPr>
              <w:spacing w:after="180"/>
              <w:jc w:val="center"/>
            </w:pPr>
            <w:r>
              <w:rPr>
                <w:noProof/>
                <w:lang w:eastAsia="en-GB"/>
              </w:rPr>
              <w:drawing>
                <wp:inline distT="0" distB="0" distL="0" distR="0">
                  <wp:extent cx="720000" cy="720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ushrooms-3933251_640.png"/>
                          <pic:cNvPicPr/>
                        </pic:nvPicPr>
                        <pic:blipFill>
                          <a:blip r:embed="rId13">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tc>
      </w:tr>
      <w:tr w:rsidR="005D59BC" w:rsidTr="005D59BC">
        <w:tc>
          <w:tcPr>
            <w:tcW w:w="3005" w:type="dxa"/>
          </w:tcPr>
          <w:p w:rsidR="005D59BC" w:rsidRDefault="005D59BC" w:rsidP="005D59BC">
            <w:pPr>
              <w:spacing w:after="180"/>
              <w:jc w:val="center"/>
            </w:pPr>
            <w:r>
              <w:t>pigs</w:t>
            </w:r>
          </w:p>
        </w:tc>
        <w:tc>
          <w:tcPr>
            <w:tcW w:w="3005" w:type="dxa"/>
          </w:tcPr>
          <w:p w:rsidR="005D59BC" w:rsidRDefault="005D59BC" w:rsidP="005D59BC">
            <w:pPr>
              <w:spacing w:after="180"/>
              <w:jc w:val="center"/>
            </w:pPr>
            <w:r>
              <w:t>humans</w:t>
            </w:r>
          </w:p>
        </w:tc>
        <w:tc>
          <w:tcPr>
            <w:tcW w:w="3006" w:type="dxa"/>
          </w:tcPr>
          <w:p w:rsidR="005D59BC" w:rsidRDefault="005D59BC" w:rsidP="005D59BC">
            <w:pPr>
              <w:spacing w:after="180"/>
              <w:jc w:val="center"/>
            </w:pPr>
            <w:r>
              <w:t>decomposers</w:t>
            </w:r>
          </w:p>
        </w:tc>
      </w:tr>
    </w:tbl>
    <w:p w:rsidR="00040199" w:rsidRDefault="00040199" w:rsidP="00040199">
      <w:pPr>
        <w:spacing w:after="180"/>
      </w:pPr>
    </w:p>
    <w:p w:rsidR="00EA472E" w:rsidRDefault="00EA472E" w:rsidP="00201AC2">
      <w:pPr>
        <w:spacing w:after="180"/>
      </w:pPr>
      <w:r>
        <w:t xml:space="preserve">The </w:t>
      </w:r>
      <w:r w:rsidR="00333311">
        <w:t>pictures show some different organisms</w:t>
      </w:r>
      <w:r>
        <w:t>.</w:t>
      </w:r>
    </w:p>
    <w:p w:rsidR="00EA472E" w:rsidRDefault="00EA472E" w:rsidP="00201AC2">
      <w:pPr>
        <w:spacing w:after="180"/>
      </w:pPr>
      <w:r>
        <w:t xml:space="preserve">You are going to role play as </w:t>
      </w:r>
      <w:r w:rsidR="00333311">
        <w:t>the</w:t>
      </w:r>
      <w:r w:rsidR="00B726C9">
        <w:t xml:space="preserve"> organism</w:t>
      </w:r>
      <w:r w:rsidR="00333311">
        <w:t>s</w:t>
      </w:r>
      <w:r w:rsidR="00B726C9">
        <w:t xml:space="preserve"> </w:t>
      </w:r>
      <w:r w:rsidR="00333311">
        <w:t>and map out how they depend on each other</w:t>
      </w:r>
      <w:r>
        <w:t>.</w:t>
      </w:r>
    </w:p>
    <w:p w:rsidR="00EA472E" w:rsidRDefault="00EA472E" w:rsidP="00201AC2">
      <w:pPr>
        <w:spacing w:after="180"/>
      </w:pPr>
      <w:bookmarkStart w:id="0" w:name="_GoBack"/>
      <w:bookmarkEnd w:id="0"/>
    </w:p>
    <w:p w:rsidR="00201AC2" w:rsidRPr="00E172C6" w:rsidRDefault="00201AC2" w:rsidP="00201AC2">
      <w:pPr>
        <w:spacing w:after="180"/>
        <w:rPr>
          <w:b/>
        </w:rPr>
      </w:pPr>
      <w:r>
        <w:rPr>
          <w:b/>
        </w:rPr>
        <w:t>To do</w:t>
      </w:r>
    </w:p>
    <w:p w:rsidR="00201AC2" w:rsidRDefault="00C56265" w:rsidP="00B726C9">
      <w:pPr>
        <w:pStyle w:val="ListParagraph"/>
        <w:numPr>
          <w:ilvl w:val="0"/>
          <w:numId w:val="2"/>
        </w:numPr>
        <w:spacing w:after="180"/>
        <w:ind w:left="567" w:hanging="567"/>
        <w:contextualSpacing w:val="0"/>
      </w:pPr>
      <w:r>
        <w:t>Take a</w:t>
      </w:r>
      <w:r w:rsidR="00B726C9">
        <w:t xml:space="preserve">n organism </w:t>
      </w:r>
      <w:r>
        <w:t>label and attached it to yourself.</w:t>
      </w:r>
    </w:p>
    <w:p w:rsidR="00C56265" w:rsidRDefault="00C56265" w:rsidP="00201AC2">
      <w:pPr>
        <w:pStyle w:val="ListParagraph"/>
        <w:numPr>
          <w:ilvl w:val="0"/>
          <w:numId w:val="2"/>
        </w:numPr>
        <w:spacing w:after="180"/>
        <w:ind w:left="567" w:hanging="567"/>
        <w:contextualSpacing w:val="0"/>
      </w:pPr>
      <w:r>
        <w:t xml:space="preserve">If you’re a </w:t>
      </w:r>
      <w:r w:rsidRPr="00437674">
        <w:rPr>
          <w:b/>
        </w:rPr>
        <w:t>consumer</w:t>
      </w:r>
      <w:r>
        <w:t xml:space="preserve">, it’s time to feed! Pick up </w:t>
      </w:r>
      <w:r w:rsidR="00437674">
        <w:t>a</w:t>
      </w:r>
      <w:r w:rsidR="00CC44E7">
        <w:t xml:space="preserve"> </w:t>
      </w:r>
      <w:r>
        <w:t>string and give the other end of the</w:t>
      </w:r>
      <w:r w:rsidR="00CC44E7">
        <w:t xml:space="preserve"> </w:t>
      </w:r>
      <w:r>
        <w:t>string</w:t>
      </w:r>
      <w:r w:rsidR="00437674">
        <w:t xml:space="preserve"> to the organism you eat</w:t>
      </w:r>
      <w:r>
        <w:t>.</w:t>
      </w:r>
    </w:p>
    <w:p w:rsidR="006074E7" w:rsidRDefault="00437674" w:rsidP="00201AC2">
      <w:pPr>
        <w:pStyle w:val="ListParagraph"/>
        <w:numPr>
          <w:ilvl w:val="0"/>
          <w:numId w:val="2"/>
        </w:numPr>
        <w:spacing w:after="180"/>
        <w:ind w:left="567" w:hanging="567"/>
        <w:contextualSpacing w:val="0"/>
      </w:pPr>
      <w:r>
        <w:t xml:space="preserve">If you’re a </w:t>
      </w:r>
      <w:r w:rsidRPr="00437674">
        <w:rPr>
          <w:b/>
        </w:rPr>
        <w:t>pollinator</w:t>
      </w:r>
      <w:r>
        <w:t>, pick up some strings and give the other ends to the organisms that depend on your ability to pollinate flowering plants and crops.</w:t>
      </w:r>
    </w:p>
    <w:p w:rsidR="00437674" w:rsidRDefault="00437674" w:rsidP="00201AC2">
      <w:pPr>
        <w:pStyle w:val="ListParagraph"/>
        <w:numPr>
          <w:ilvl w:val="0"/>
          <w:numId w:val="2"/>
        </w:numPr>
        <w:spacing w:after="180"/>
        <w:ind w:left="567" w:hanging="567"/>
        <w:contextualSpacing w:val="0"/>
      </w:pPr>
      <w:r>
        <w:t xml:space="preserve">If you’re a </w:t>
      </w:r>
      <w:r w:rsidRPr="00437674">
        <w:rPr>
          <w:b/>
        </w:rPr>
        <w:t>decomposer</w:t>
      </w:r>
      <w:r>
        <w:t>, pick up some strings and give the other end to the organisms that depend on your ability to break down dead organisms and make essential elements available for reuse.</w:t>
      </w:r>
    </w:p>
    <w:p w:rsidR="00C56265" w:rsidRDefault="00C56265" w:rsidP="00201AC2">
      <w:pPr>
        <w:pStyle w:val="ListParagraph"/>
        <w:numPr>
          <w:ilvl w:val="0"/>
          <w:numId w:val="2"/>
        </w:numPr>
        <w:spacing w:after="180"/>
        <w:ind w:left="567" w:hanging="567"/>
        <w:contextualSpacing w:val="0"/>
      </w:pPr>
      <w:r>
        <w:t>Your teacher will now describe a change to one of the populations in the food web. What effects will this change have on you, and the rest of the community?</w:t>
      </w:r>
    </w:p>
    <w:p w:rsidR="00201AC2" w:rsidRPr="00201AC2" w:rsidRDefault="00201AC2" w:rsidP="006F3279">
      <w:pPr>
        <w:spacing w:after="240"/>
        <w:rPr>
          <w:szCs w:val="18"/>
        </w:rPr>
      </w:pPr>
    </w:p>
    <w:p w:rsidR="00201AC2" w:rsidRPr="00201AC2" w:rsidRDefault="00201AC2" w:rsidP="006F3279">
      <w:pPr>
        <w:spacing w:after="240"/>
        <w:rPr>
          <w:szCs w:val="18"/>
        </w:rPr>
        <w:sectPr w:rsidR="00201AC2" w:rsidRPr="00201AC2" w:rsidSect="00642ECD">
          <w:headerReference w:type="default" r:id="rId14"/>
          <w:footerReference w:type="default" r:id="rId15"/>
          <w:pgSz w:w="11906" w:h="16838" w:code="9"/>
          <w:pgMar w:top="1440" w:right="1440" w:bottom="1440" w:left="1440" w:header="709" w:footer="567" w:gutter="0"/>
          <w:cols w:space="708"/>
          <w:docGrid w:linePitch="360"/>
        </w:sectPr>
      </w:pPr>
    </w:p>
    <w:p w:rsidR="00287876" w:rsidRPr="006F3279" w:rsidRDefault="00B138DA" w:rsidP="006F3279">
      <w:pPr>
        <w:spacing w:after="240"/>
        <w:rPr>
          <w:i/>
          <w:sz w:val="18"/>
          <w:szCs w:val="18"/>
        </w:rPr>
      </w:pPr>
      <w:r w:rsidRPr="00B0105B">
        <w:rPr>
          <w:i/>
          <w:sz w:val="18"/>
          <w:szCs w:val="18"/>
        </w:rPr>
        <w:lastRenderedPageBreak/>
        <w:t>Biology&gt; Big idea BOE: Organisms and their environments &gt; Topic BOE1: Interdependence of organisms &gt; Key concept BOE1.2: Interdependence within ecosystems</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6355D8">
        <w:tc>
          <w:tcPr>
            <w:tcW w:w="12021" w:type="dxa"/>
            <w:shd w:val="clear" w:color="auto" w:fill="C2D69B" w:themeFill="accent3" w:themeFillTint="99"/>
          </w:tcPr>
          <w:p w:rsidR="006F3279" w:rsidRPr="00CA4B46" w:rsidRDefault="00806B12" w:rsidP="00800549">
            <w:pPr>
              <w:ind w:left="1304"/>
              <w:rPr>
                <w:b/>
                <w:sz w:val="40"/>
                <w:szCs w:val="40"/>
              </w:rPr>
            </w:pPr>
            <w:r>
              <w:rPr>
                <w:b/>
                <w:sz w:val="40"/>
                <w:szCs w:val="40"/>
              </w:rPr>
              <w:t xml:space="preserve">Response </w:t>
            </w:r>
            <w:r w:rsidR="00800549">
              <w:rPr>
                <w:b/>
                <w:sz w:val="40"/>
                <w:szCs w:val="40"/>
              </w:rPr>
              <w:t>activity</w:t>
            </w:r>
          </w:p>
        </w:tc>
      </w:tr>
      <w:tr w:rsidR="006F3279" w:rsidTr="006355D8">
        <w:tc>
          <w:tcPr>
            <w:tcW w:w="12021" w:type="dxa"/>
            <w:shd w:val="clear" w:color="auto" w:fill="D6E3BC" w:themeFill="accent3" w:themeFillTint="66"/>
          </w:tcPr>
          <w:p w:rsidR="006F3279" w:rsidRPr="00CA4B46" w:rsidRDefault="00546980" w:rsidP="006F3279">
            <w:pPr>
              <w:spacing w:after="60"/>
              <w:ind w:left="1304"/>
              <w:rPr>
                <w:b/>
                <w:sz w:val="40"/>
                <w:szCs w:val="40"/>
              </w:rPr>
            </w:pPr>
            <w:r w:rsidRPr="00546980">
              <w:rPr>
                <w:b/>
                <w:sz w:val="40"/>
                <w:szCs w:val="40"/>
              </w:rPr>
              <w:t>Ecosystem connections role play</w:t>
            </w:r>
          </w:p>
        </w:tc>
      </w:tr>
    </w:tbl>
    <w:p w:rsidR="006F3279" w:rsidRDefault="006F3279" w:rsidP="001E4A3C">
      <w:pPr>
        <w:rPr>
          <w:b/>
        </w:rPr>
      </w:pPr>
    </w:p>
    <w:p w:rsidR="004032EA" w:rsidRPr="00A82D25" w:rsidRDefault="004032EA" w:rsidP="004032EA">
      <w:pPr>
        <w:spacing w:after="180"/>
        <w:rPr>
          <w:b/>
          <w:color w:val="538135"/>
          <w:sz w:val="24"/>
        </w:rPr>
      </w:pPr>
      <w:r w:rsidRPr="00A82D25">
        <w:rPr>
          <w:b/>
          <w:color w:val="538135"/>
          <w:sz w:val="24"/>
        </w:rPr>
        <w:t>Overview</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A070FC" w:rsidTr="003F16F9">
        <w:trPr>
          <w:trHeight w:val="340"/>
        </w:trPr>
        <w:tc>
          <w:tcPr>
            <w:tcW w:w="2196" w:type="dxa"/>
          </w:tcPr>
          <w:p w:rsidR="00A070FC" w:rsidRDefault="00A070FC" w:rsidP="00A070FC">
            <w:pPr>
              <w:spacing w:before="60" w:after="60"/>
            </w:pPr>
            <w:r>
              <w:t>Learning focus:</w:t>
            </w:r>
          </w:p>
        </w:tc>
        <w:tc>
          <w:tcPr>
            <w:tcW w:w="6820" w:type="dxa"/>
          </w:tcPr>
          <w:p w:rsidR="00A070FC" w:rsidRDefault="00B138DA" w:rsidP="00B138DA">
            <w:pPr>
              <w:spacing w:before="60" w:after="60"/>
            </w:pPr>
            <w:r>
              <w:t>An ecosystem is made up of interdependent populations of organisms</w:t>
            </w:r>
            <w:r>
              <w:t xml:space="preserve"> </w:t>
            </w:r>
            <w:r>
              <w:t>interacting with each other and the environment in which they live.</w:t>
            </w:r>
          </w:p>
        </w:tc>
      </w:tr>
      <w:tr w:rsidR="00A070FC" w:rsidTr="003F16F9">
        <w:trPr>
          <w:trHeight w:val="340"/>
        </w:trPr>
        <w:tc>
          <w:tcPr>
            <w:tcW w:w="2196" w:type="dxa"/>
          </w:tcPr>
          <w:p w:rsidR="00A070FC" w:rsidRDefault="00A070FC" w:rsidP="00A070FC">
            <w:pPr>
              <w:spacing w:before="60" w:after="60"/>
            </w:pPr>
            <w:r>
              <w:t>Observable learning outcome:</w:t>
            </w:r>
          </w:p>
        </w:tc>
        <w:tc>
          <w:tcPr>
            <w:tcW w:w="6820" w:type="dxa"/>
          </w:tcPr>
          <w:p w:rsidR="00A070FC" w:rsidRPr="00A50C9C" w:rsidRDefault="00A070FC" w:rsidP="00A070FC">
            <w:pPr>
              <w:spacing w:before="60" w:after="60"/>
              <w:rPr>
                <w:b/>
              </w:rPr>
            </w:pPr>
            <w:r w:rsidRPr="003C003C">
              <w:t>Use a food web diagram to predict and explain effects that a change in the size of a population could have on other populations in the same community.</w:t>
            </w:r>
          </w:p>
        </w:tc>
      </w:tr>
      <w:tr w:rsidR="000505CA" w:rsidTr="003F16F9">
        <w:trPr>
          <w:trHeight w:val="340"/>
        </w:trPr>
        <w:tc>
          <w:tcPr>
            <w:tcW w:w="2196" w:type="dxa"/>
          </w:tcPr>
          <w:p w:rsidR="000505CA" w:rsidRDefault="00C70BA8" w:rsidP="000505CA">
            <w:pPr>
              <w:spacing w:before="60" w:after="60"/>
            </w:pPr>
            <w:r>
              <w:t>Activity</w:t>
            </w:r>
            <w:r w:rsidR="000505CA">
              <w:t xml:space="preserve"> type:</w:t>
            </w:r>
          </w:p>
        </w:tc>
        <w:tc>
          <w:tcPr>
            <w:tcW w:w="6820" w:type="dxa"/>
          </w:tcPr>
          <w:p w:rsidR="000505CA" w:rsidRDefault="00A070FC" w:rsidP="0009089A">
            <w:pPr>
              <w:spacing w:before="60" w:after="60"/>
            </w:pPr>
            <w:r w:rsidRPr="00A070FC">
              <w:t>Role play</w:t>
            </w:r>
          </w:p>
        </w:tc>
      </w:tr>
      <w:tr w:rsidR="000505CA" w:rsidTr="003F16F9">
        <w:trPr>
          <w:trHeight w:val="340"/>
        </w:trPr>
        <w:tc>
          <w:tcPr>
            <w:tcW w:w="2196" w:type="dxa"/>
          </w:tcPr>
          <w:p w:rsidR="000505CA" w:rsidRDefault="000505CA" w:rsidP="000505CA">
            <w:pPr>
              <w:spacing w:before="60" w:after="60"/>
            </w:pPr>
            <w:r>
              <w:t>Key words:</w:t>
            </w:r>
          </w:p>
        </w:tc>
        <w:tc>
          <w:tcPr>
            <w:tcW w:w="6820" w:type="dxa"/>
            <w:tcBorders>
              <w:bottom w:val="dotted" w:sz="4" w:space="0" w:color="auto"/>
            </w:tcBorders>
          </w:tcPr>
          <w:p w:rsidR="000505CA" w:rsidRDefault="001E4A3C" w:rsidP="000505CA">
            <w:pPr>
              <w:spacing w:before="60" w:after="60"/>
            </w:pPr>
            <w:r>
              <w:t>ecosystem, interdependence, community</w:t>
            </w:r>
          </w:p>
        </w:tc>
      </w:tr>
    </w:tbl>
    <w:p w:rsidR="00E172C6" w:rsidRDefault="00E172C6" w:rsidP="001E4A3C"/>
    <w:p w:rsidR="004032EA" w:rsidRPr="00A070FC" w:rsidRDefault="00725106" w:rsidP="004032EA">
      <w:pPr>
        <w:spacing w:after="180"/>
      </w:pPr>
      <w:r w:rsidRPr="00A070FC">
        <w:t xml:space="preserve">This activity can help </w:t>
      </w:r>
      <w:r w:rsidR="00A070FC" w:rsidRPr="00A070FC">
        <w:t xml:space="preserve">to increase student engagement and help develop their understanding of the </w:t>
      </w:r>
      <w:r w:rsidR="001E4A3C">
        <w:t xml:space="preserve">interdependence of organisms </w:t>
      </w:r>
      <w:r w:rsidR="001E4A3C">
        <w:t>beyond direct predator-prey relationships</w:t>
      </w:r>
      <w:r w:rsidR="001E4A3C">
        <w:t>. It</w:t>
      </w:r>
      <w:r w:rsidR="00A070FC" w:rsidRPr="00A070FC">
        <w:t xml:space="preserve"> can be used in response to</w:t>
      </w:r>
      <w:r w:rsidR="004032EA" w:rsidRPr="00A070FC">
        <w:t xml:space="preserve"> the following diagnostic </w:t>
      </w:r>
      <w:r w:rsidR="005908A7" w:rsidRPr="00A070FC">
        <w:t>question</w:t>
      </w:r>
      <w:r w:rsidR="004032EA" w:rsidRPr="00A070FC">
        <w:t>:</w:t>
      </w:r>
    </w:p>
    <w:p w:rsidR="004032EA" w:rsidRPr="00A070FC" w:rsidRDefault="004032EA" w:rsidP="004032EA">
      <w:pPr>
        <w:pStyle w:val="ListParagraph"/>
        <w:numPr>
          <w:ilvl w:val="0"/>
          <w:numId w:val="1"/>
        </w:numPr>
        <w:spacing w:after="180"/>
      </w:pPr>
      <w:r w:rsidRPr="00A070FC">
        <w:t>Diagnostic</w:t>
      </w:r>
      <w:r w:rsidR="00E610E5" w:rsidRPr="00A070FC">
        <w:t xml:space="preserve"> question</w:t>
      </w:r>
      <w:r w:rsidR="00A070FC" w:rsidRPr="00A070FC">
        <w:t>: T</w:t>
      </w:r>
      <w:r w:rsidR="001E4A3C">
        <w:t>he bees are disappearing</w:t>
      </w:r>
    </w:p>
    <w:p w:rsidR="00C05571" w:rsidRPr="00A82D25" w:rsidRDefault="00BB44B4" w:rsidP="00026DEC">
      <w:pPr>
        <w:spacing w:after="180"/>
        <w:rPr>
          <w:b/>
          <w:color w:val="538135"/>
          <w:sz w:val="24"/>
        </w:rPr>
      </w:pPr>
      <w:r w:rsidRPr="00A82D25">
        <w:rPr>
          <w:b/>
          <w:color w:val="538135"/>
          <w:sz w:val="24"/>
        </w:rPr>
        <w:t>What does the research say</w:t>
      </w:r>
      <w:r w:rsidR="00C05571" w:rsidRPr="00A82D25">
        <w:rPr>
          <w:b/>
          <w:color w:val="538135"/>
          <w:sz w:val="24"/>
        </w:rPr>
        <w:t>?</w:t>
      </w:r>
    </w:p>
    <w:p w:rsidR="00B138DA" w:rsidRDefault="00B138DA" w:rsidP="00B138DA">
      <w:pPr>
        <w:spacing w:after="180"/>
      </w:pPr>
      <w:r>
        <w:t xml:space="preserve">It is important for students to appreciate that the interdependence </w:t>
      </w:r>
      <w:r>
        <w:t xml:space="preserve">(or “connectedness”) </w:t>
      </w:r>
      <w:r>
        <w:t xml:space="preserve">of organisms within an ecosystem arises from more than just feeding relationships </w:t>
      </w:r>
      <w:r>
        <w:fldChar w:fldCharType="begin"/>
      </w:r>
      <w:r>
        <w:instrText xml:space="preserve"> ADDIN EN.CITE &lt;EndNote&gt;&lt;Cite&gt;&lt;Author&gt;Driver&lt;/Author&gt;&lt;Year&gt;1994&lt;/Year&gt;&lt;IDText&gt;Making Sense of Secondary Science: Research into Children&amp;apos;s Ideas&lt;/IDText&gt;&lt;DisplayText&gt;(Driver et al., 1994; Allen, 2014)&lt;/DisplayText&gt;&lt;record&gt;&lt;isbn&gt;970415097659&lt;/isbn&gt;&lt;titles&gt;&lt;title&gt;Making Sense of Secondary Science: Research into Children&amp;apos;s Ideas&lt;/title&gt;&lt;/titles&gt;&lt;contributors&gt;&lt;authors&gt;&lt;author&gt;Driver, Rosalind&lt;/author&gt;&lt;author&gt;Squires, Ann&lt;/author&gt;&lt;author&gt;Rushworth, Peter&lt;/author&gt;&lt;author&gt;Wood-Robinson, Valerie&lt;/author&gt;&lt;/authors&gt;&lt;/contributors&gt;&lt;added-date format="utc"&gt;1528984684&lt;/added-date&gt;&lt;pub-location&gt;London, UK&lt;/pub-location&gt;&lt;ref-type name="Book"&gt;6&lt;/ref-type&gt;&lt;dates&gt;&lt;year&gt;1994&lt;/year&gt;&lt;/dates&gt;&lt;rec-number&gt;8403&lt;/rec-number&gt;&lt;publisher&gt;Routledge&lt;/publisher&gt;&lt;last-updated-date format="utc"&gt;1530123307&lt;/last-updated-date&gt;&lt;/record&gt;&lt;/Cite&gt;&lt;Cite&gt;&lt;Author&gt;Allen&lt;/Author&gt;&lt;Year&gt;2014&lt;/Year&gt;&lt;IDText&gt;Misconceptions in Primary Science&lt;/IDText&gt;&lt;record&gt;&lt;isbn&gt;9780335262663&lt;/isbn&gt;&lt;titles&gt;&lt;title&gt;Misconceptions in Primary Science&lt;/title&gt;&lt;/titles&gt;&lt;contributors&gt;&lt;authors&gt;&lt;author&gt;Allen, Michael&lt;/author&gt;&lt;/authors&gt;&lt;/contributors&gt;&lt;edition&gt;2nd&lt;/edition&gt;&lt;added-date format="utc"&gt;1529954284&lt;/added-date&gt;&lt;pub-location&gt;Berkshire, UK&lt;/pub-location&gt;&lt;ref-type name="Book"&gt;6&lt;/ref-type&gt;&lt;dates&gt;&lt;year&gt;2014&lt;/year&gt;&lt;/dates&gt;&lt;rec-number&gt;8427&lt;/rec-number&gt;&lt;publisher&gt;Open University Press&lt;/publisher&gt;&lt;last-updated-date format="utc"&gt;1546597467&lt;/last-updated-date&gt;&lt;/record&gt;&lt;/Cite&gt;&lt;/EndNote&gt;</w:instrText>
      </w:r>
      <w:r>
        <w:fldChar w:fldCharType="separate"/>
      </w:r>
      <w:r>
        <w:rPr>
          <w:noProof/>
        </w:rPr>
        <w:t>(Driver et al., 1994; Allen, 2014)</w:t>
      </w:r>
      <w:r>
        <w:fldChar w:fldCharType="end"/>
      </w:r>
      <w:r>
        <w:t>.</w:t>
      </w:r>
    </w:p>
    <w:p w:rsidR="00B138DA" w:rsidRDefault="00B138DA" w:rsidP="00B138DA">
      <w:pPr>
        <w:spacing w:after="180"/>
      </w:pPr>
      <w:r>
        <w:t xml:space="preserve">All of the organisms in a food chain can depend upon animals that pollinate plants and disperse their seeds, and human food security is critically dependent upon animals that perform these services for food crops </w:t>
      </w:r>
      <w:r>
        <w:fldChar w:fldCharType="begin"/>
      </w:r>
      <w:r>
        <w:instrText xml:space="preserve"> ADDIN EN.CITE &lt;EndNote&gt;&lt;Cite&gt;&lt;Author&gt;Díaz&lt;/Author&gt;&lt;Year&gt;2006&lt;/Year&gt;&lt;IDText&gt;Biodiversity loss threatens human well-being&lt;/IDText&gt;&lt;DisplayText&gt;(Díaz et al., 2006)&lt;/DisplayText&gt;&lt;record&gt;&lt;titles&gt;&lt;title&gt;Biodiversity loss threatens human well-being&lt;/title&gt;&lt;secondary-title&gt;PLoS Biology&lt;/secondary-title&gt;&lt;/titles&gt;&lt;pages&gt;e277&lt;/pages&gt;&lt;number&gt;8&lt;/number&gt;&lt;contributors&gt;&lt;authors&gt;&lt;author&gt;Díaz, S.&lt;/author&gt;&lt;author&gt;Fargione, J.&lt;/author&gt;&lt;author&gt;Chapin, F. S.&lt;/author&gt;&lt;author&gt;Tilman, D.&lt;/author&gt;&lt;/authors&gt;&lt;/contributors&gt;&lt;added-date format="utc"&gt;1553686489&lt;/added-date&gt;&lt;ref-type name="Journal Article"&gt;17&lt;/ref-type&gt;&lt;dates&gt;&lt;year&gt;2006&lt;/year&gt;&lt;/dates&gt;&lt;rec-number&gt;8646&lt;/rec-number&gt;&lt;last-updated-date format="utc"&gt;1553686615&lt;/last-updated-date&gt;&lt;volume&gt;4&lt;/volume&gt;&lt;/record&gt;&lt;/Cite&gt;&lt;/EndNote&gt;</w:instrText>
      </w:r>
      <w:r>
        <w:fldChar w:fldCharType="separate"/>
      </w:r>
      <w:r>
        <w:rPr>
          <w:noProof/>
        </w:rPr>
        <w:t>(Díaz et al., 2006)</w:t>
      </w:r>
      <w:r>
        <w:fldChar w:fldCharType="end"/>
      </w:r>
      <w:r>
        <w:t xml:space="preserve">. Pollinator populations are in decline, at least in part due to human activities that result in habitat loss, bioaccumulation of substances such as insecticides, and climate change </w:t>
      </w:r>
      <w:r>
        <w:fldChar w:fldCharType="begin"/>
      </w:r>
      <w:r>
        <w:instrText xml:space="preserve"> ADDIN EN.CITE &lt;EndNote&gt;&lt;Cite&gt;&lt;Author&gt;Potts&lt;/Author&gt;&lt;Year&gt;2010&lt;/Year&gt;&lt;IDText&gt;Global pollinator declines: trends, impacts and drivers&lt;/IDText&gt;&lt;DisplayText&gt;(Potts et al., 2010)&lt;/DisplayText&gt;&lt;record&gt;&lt;titles&gt;&lt;title&gt;Global pollinator declines: trends, impacts and drivers&lt;/title&gt;&lt;secondary-title&gt;Trends in Ecology and Evolution&lt;/secondary-title&gt;&lt;/titles&gt;&lt;pages&gt;345-353&lt;/pages&gt;&lt;number&gt;6&lt;/number&gt;&lt;contributors&gt;&lt;authors&gt;&lt;author&gt;Potts, S. G.&lt;/author&gt;&lt;author&gt;Biesmeijer, J. C.&lt;/author&gt;&lt;author&gt;Kremen, C.&lt;/author&gt;&lt;author&gt;Neumann, P.&lt;/author&gt;&lt;author&gt;Schweiger, O.&lt;/author&gt;&lt;author&gt;Kunin, W. E.&lt;/author&gt;&lt;/authors&gt;&lt;/contributors&gt;&lt;added-date format="utc"&gt;1553686728&lt;/added-date&gt;&lt;ref-type name="Journal Article"&gt;17&lt;/ref-type&gt;&lt;dates&gt;&lt;year&gt;2010&lt;/year&gt;&lt;/dates&gt;&lt;rec-number&gt;8647&lt;/rec-number&gt;&lt;last-updated-date format="utc"&gt;1553686789&lt;/last-updated-date&gt;&lt;volume&gt;25&lt;/volume&gt;&lt;/record&gt;&lt;/Cite&gt;&lt;/EndNote&gt;</w:instrText>
      </w:r>
      <w:r>
        <w:fldChar w:fldCharType="separate"/>
      </w:r>
      <w:r>
        <w:rPr>
          <w:noProof/>
        </w:rPr>
        <w:t>(Potts et al., 2010)</w:t>
      </w:r>
      <w:r>
        <w:fldChar w:fldCharType="end"/>
      </w:r>
      <w:r>
        <w:t xml:space="preserve">, and learning about the important roles of pollinators in school can help to increase students’ engagement with biodiversity loss and conservation </w:t>
      </w:r>
      <w:r>
        <w:fldChar w:fldCharType="begin"/>
      </w:r>
      <w:r>
        <w:instrText xml:space="preserve"> ADDIN EN.CITE &lt;EndNote&gt;&lt;Cite&gt;&lt;Author&gt;Schönfelder&lt;/Author&gt;&lt;Year&gt;2017&lt;/Year&gt;&lt;IDText&gt;Two ways of acquiring environmental knowledge: by encountering living animals at a beehive and by observing bees via digital tools&lt;/IDText&gt;&lt;DisplayText&gt;(Schönfelder and Bogner, 2017)&lt;/DisplayText&gt;&lt;record&gt;&lt;keywords&gt;&lt;keyword&gt;BEEHIVES&lt;/keyword&gt;&lt;keyword&gt;KNOWLEDGE acquisition (Expert systems)&lt;/keyword&gt;&lt;keyword&gt;DIGITAL technology&lt;/keyword&gt;&lt;keyword&gt;INSECT pollinators&lt;/keyword&gt;&lt;keyword&gt;INSECT diversity&lt;/keyword&gt;&lt;keyword&gt;cognitive achievement&lt;/keyword&gt;&lt;keyword&gt;eLearning&lt;/keyword&gt;&lt;keyword&gt;Environmental education&lt;/keyword&gt;&lt;keyword&gt;living animals&lt;/keyword&gt;&lt;keyword&gt;programme evaluation&lt;/keyword&gt;&lt;/keywords&gt;&lt;urls&gt;&lt;related-urls&gt;&lt;url&gt;http://search.ebscohost.com/login.aspx?direct=true&amp;amp;db=bri&amp;amp;AN=122935430&amp;amp;site=ehost-live&lt;/url&gt;&lt;/related-urls&gt;&lt;/urls&gt;&lt;isbn&gt;09500693&lt;/isbn&gt;&lt;work-type&gt;Article&lt;/work-type&gt;&lt;titles&gt;&lt;title&gt;Two ways of acquiring environmental knowledge: by encountering living animals at a beehive and by observing bees via digital tools&lt;/title&gt;&lt;secondary-title&gt;International Journal of Science Education&lt;/secondary-title&gt;&lt;/titles&gt;&lt;pages&gt;723-741&lt;/pages&gt;&lt;number&gt;6&lt;/number&gt;&lt;contributors&gt;&lt;authors&gt;&lt;author&gt;Schönfelder, Mona L.&lt;/author&gt;&lt;author&gt;Bogner, Franz X.&lt;/author&gt;&lt;/authors&gt;&lt;/contributors&gt;&lt;added-date format="utc"&gt;1553684053&lt;/added-date&gt;&lt;ref-type name="Journal Article"&gt;17&lt;/ref-type&gt;&lt;dates&gt;&lt;year&gt;2017&lt;/year&gt;&lt;/dates&gt;&lt;remote-database-provider&gt;EBSCOhost&lt;/remote-database-provider&gt;&lt;rec-number&gt;8644&lt;/rec-number&gt;&lt;last-updated-date format="utc"&gt;1553686962&lt;/last-updated-date&gt;&lt;accession-num&gt;122935430&lt;/accession-num&gt;&lt;electronic-resource-num&gt;10.1080/09500693.2017.1304670&lt;/electronic-resource-num&gt;&lt;volume&gt;39&lt;/volume&gt;&lt;remote-database-name&gt;bri&lt;/remote-database-name&gt;&lt;/record&gt;&lt;/Cite&gt;&lt;/EndNote&gt;</w:instrText>
      </w:r>
      <w:r>
        <w:fldChar w:fldCharType="separate"/>
      </w:r>
      <w:r>
        <w:rPr>
          <w:noProof/>
        </w:rPr>
        <w:t>(Schönfelder and Bogner, 2017)</w:t>
      </w:r>
      <w:r>
        <w:fldChar w:fldCharType="end"/>
      </w:r>
      <w:r>
        <w:t xml:space="preserve">. </w:t>
      </w:r>
    </w:p>
    <w:p w:rsidR="00B138DA" w:rsidRDefault="00B138DA" w:rsidP="00B138DA">
      <w:pPr>
        <w:spacing w:after="180"/>
      </w:pPr>
      <w:r>
        <w:t xml:space="preserve">In addition, all living organisms </w:t>
      </w:r>
      <w:r w:rsidRPr="007F5B18">
        <w:t xml:space="preserve">depend upon </w:t>
      </w:r>
      <w:r>
        <w:t>decomposers</w:t>
      </w:r>
      <w:r w:rsidRPr="007F5B18">
        <w:t xml:space="preserve"> that can </w:t>
      </w:r>
      <w:r>
        <w:t>break down</w:t>
      </w:r>
      <w:r w:rsidRPr="007F5B18">
        <w:t xml:space="preserve"> dead </w:t>
      </w:r>
      <w:r>
        <w:t xml:space="preserve">organic matter and make essential elements available for reuse. Research has found that school children generally do not appreciate the important roles of microorganisms in decomposition and the recycling of carbon, nitrogen and other elements, with many associating microorganisms only with disease and associating decay only with rotting food </w:t>
      </w:r>
      <w:r>
        <w:fldChar w:fldCharType="begin">
          <w:fldData xml:space="preserve">PEVuZE5vdGU+PENpdGU+PEF1dGhvcj5Ccmlua21hbjwvQXV0aG9yPjxZZWFyPjE5ODk8L1llYXI+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</w:fldData>
        </w:fldChar>
      </w:r>
      <w:r>
        <w:instrText xml:space="preserve"> ADDIN EN.CITE </w:instrText>
      </w:r>
      <w:r>
        <w:fldChar w:fldCharType="begin">
          <w:fldData xml:space="preserve">PEVuZE5vdGU+PENpdGU+PEF1dGhvcj5Ccmlua21hbjwvQXV0aG9yPjxZZWFyPjE5ODk8L1llYXI+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</w:fldData>
        </w:fldChar>
      </w:r>
      <w:r>
        <w:instrText xml:space="preserve"> ADDIN EN.CITE.DATA </w:instrText>
      </w:r>
      <w:r>
        <w:fldChar w:fldCharType="end"/>
      </w:r>
      <w:r>
        <w:fldChar w:fldCharType="separate"/>
      </w:r>
      <w:r>
        <w:rPr>
          <w:noProof/>
        </w:rPr>
        <w:t>(Brinkman and Boschhuizen, 1989; Leach et al., 1992)</w:t>
      </w:r>
      <w:r>
        <w:fldChar w:fldCharType="end"/>
      </w:r>
      <w:r>
        <w:t>.</w:t>
      </w:r>
    </w:p>
    <w:p w:rsidR="00A070FC" w:rsidRDefault="00A070FC" w:rsidP="00A070FC">
      <w:pPr>
        <w:spacing w:after="180"/>
      </w:pPr>
      <w:r w:rsidRPr="00A820BD">
        <w:t xml:space="preserve">A number of authors have suggested using </w:t>
      </w:r>
      <w:r>
        <w:t xml:space="preserve">interactive activities </w:t>
      </w:r>
      <w:r w:rsidRPr="00A820BD">
        <w:t xml:space="preserve">to increase engagement and help develop students’ understanding of </w:t>
      </w:r>
      <w:r w:rsidR="00B138DA">
        <w:t xml:space="preserve">the </w:t>
      </w:r>
      <w:r w:rsidR="001E4A3C">
        <w:t>interdependence</w:t>
      </w:r>
      <w:r>
        <w:t>, including</w:t>
      </w:r>
      <w:r w:rsidRPr="00A820BD">
        <w:t xml:space="preserve"> role play </w:t>
      </w:r>
      <w:r w:rsidRPr="00A820BD">
        <w:fldChar w:fldCharType="begin"/>
      </w:r>
      <w:r w:rsidRPr="00A820BD">
        <w:instrText xml:space="preserve"> ADDIN EN.CITE &lt;EndNote&gt;&lt;Cite&gt;&lt;Author&gt;Ford&lt;/Author&gt;&lt;Year&gt;1994&lt;/Year&gt;&lt;IDText&gt;Food webs and environmental disturbance: what&amp;apos;s the connection?&lt;/IDText&gt;&lt;Prefix&gt;e.g. &lt;/Prefix&gt;&lt;DisplayText&gt;(e.g. Ford and Smith, 1994)&lt;/DisplayText&gt;&lt;record&gt;&lt;keywords&gt;&lt;keyword&gt;Biology&lt;/keyword&gt;&lt;keyword&gt;Ecology&lt;/keyword&gt;&lt;keyword&gt;Environment&lt;/keyword&gt;&lt;keyword&gt;High Schools&lt;/keyword&gt;&lt;keyword&gt;Learning Activities&lt;/keyword&gt;&lt;keyword&gt;Science Activities&lt;/keyword&gt;&lt;keyword&gt;Science Education&lt;/keyword&gt;&lt;keyword&gt;Science Instruction&lt;/keyword&gt;&lt;keyword&gt;Scientific Concepts&lt;/keyword&gt;&lt;keyword&gt;Secondary School Science&lt;/keyword&gt;&lt;keyword&gt;Teaching Methods&lt;/keyword&gt;&lt;keyword&gt;Food Webs&lt;/keyword&gt;&lt;/keywords&gt;&lt;urls&gt;&lt;related-urls&gt;&lt;url&gt;http://search.ebscohost.com/login.aspx?direct=true&amp;amp;db=eric&amp;amp;AN=EJ482287&amp;amp;site=ehost-live&lt;/url&gt;&lt;/related-urls&gt;&lt;/urls&gt;&lt;isbn&gt;0002-7685&lt;/isbn&gt;&lt;titles&gt;&lt;title&gt;Food webs and environmental disturbance: what&amp;apos;s the connection?&lt;/title&gt;&lt;secondary-title&gt;American Biology Teacher&lt;/secondary-title&gt;&lt;/titles&gt;&lt;pages&gt;247-49&lt;/pages&gt;&lt;contributors&gt;&lt;authors&gt;&lt;author&gt;Ford, Bob&lt;/author&gt;&lt;author&gt;Smith, Bruce M.&lt;/author&gt;&lt;/authors&gt;&lt;/contributors&gt;&lt;added-date format="utc"&gt;1551622616&lt;/added-date&gt;&lt;ref-type name="Journal Article"&gt;17&lt;/ref-type&gt;&lt;dates&gt;&lt;year&gt;1994&lt;/year&gt;&lt;/dates&gt;&lt;remote-database-provider&gt;EBSCOhost&lt;/remote-database-provider&gt;&lt;rec-number&gt;8631&lt;/rec-number&gt;&lt;last-updated-date format="utc"&gt;1551622992&lt;/last-updated-date&gt;&lt;volume&gt;56&lt;/volume&gt;&lt;remote-database-name&gt;eric&lt;/remote-database-name&gt;&lt;/record&gt;&lt;/Cite&gt;&lt;/EndNote&gt;</w:instrText>
      </w:r>
      <w:r w:rsidRPr="00A820BD">
        <w:fldChar w:fldCharType="separate"/>
      </w:r>
      <w:r w:rsidRPr="00A820BD">
        <w:rPr>
          <w:noProof/>
        </w:rPr>
        <w:t>(e.g. Ford and Smith, 1994)</w:t>
      </w:r>
      <w:r w:rsidRPr="00A820BD">
        <w:fldChar w:fldCharType="end"/>
      </w:r>
      <w:r w:rsidRPr="00A820BD">
        <w:t>.</w:t>
      </w:r>
    </w:p>
    <w:p w:rsidR="007A748B" w:rsidRPr="00A82D25" w:rsidRDefault="007A748B" w:rsidP="00026DEC">
      <w:pPr>
        <w:spacing w:after="180"/>
        <w:rPr>
          <w:b/>
          <w:color w:val="538135"/>
          <w:sz w:val="24"/>
        </w:rPr>
      </w:pPr>
      <w:r w:rsidRPr="00A82D25">
        <w:rPr>
          <w:b/>
          <w:color w:val="538135"/>
          <w:sz w:val="24"/>
        </w:rPr>
        <w:t>Ways to use this</w:t>
      </w:r>
      <w:r w:rsidR="006B1690" w:rsidRPr="00A82D25">
        <w:rPr>
          <w:b/>
          <w:color w:val="538135"/>
          <w:sz w:val="24"/>
        </w:rPr>
        <w:t xml:space="preserve"> activity</w:t>
      </w:r>
    </w:p>
    <w:p w:rsidR="004032EA" w:rsidRDefault="00A744C6" w:rsidP="004032EA">
      <w:pPr>
        <w:spacing w:after="180"/>
      </w:pPr>
      <w:r w:rsidRPr="00A744C6">
        <w:t xml:space="preserve">In this whole-class activity, students </w:t>
      </w:r>
      <w:r>
        <w:t xml:space="preserve">role play as the populations of organisms </w:t>
      </w:r>
      <w:r w:rsidR="001E4A3C">
        <w:t>in a community</w:t>
      </w:r>
      <w:r>
        <w:t xml:space="preserve">. The </w:t>
      </w:r>
      <w:r w:rsidR="001E4A3C">
        <w:t xml:space="preserve">model of interdependence </w:t>
      </w:r>
      <w:r>
        <w:t>they create is used to</w:t>
      </w:r>
      <w:r w:rsidR="001E4A3C">
        <w:t xml:space="preserve"> investigate who</w:t>
      </w:r>
      <w:r>
        <w:t xml:space="preserve"> a change in the size of one population </w:t>
      </w:r>
      <w:r w:rsidR="001E4A3C">
        <w:t>a</w:t>
      </w:r>
      <w:r>
        <w:t>ffects other populations throughout the community.</w:t>
      </w:r>
    </w:p>
    <w:p w:rsidR="00150D91" w:rsidRPr="00150D91" w:rsidRDefault="00150D91" w:rsidP="004032EA">
      <w:pPr>
        <w:spacing w:after="180"/>
        <w:rPr>
          <w:b/>
        </w:rPr>
      </w:pPr>
      <w:r w:rsidRPr="00150D91">
        <w:rPr>
          <w:b/>
        </w:rPr>
        <w:t>This role play activity is an extension of ‘</w:t>
      </w:r>
      <w:r w:rsidRPr="00150D91">
        <w:rPr>
          <w:b/>
          <w:i/>
        </w:rPr>
        <w:t>Food web role play</w:t>
      </w:r>
      <w:r w:rsidRPr="00150D91">
        <w:rPr>
          <w:b/>
        </w:rPr>
        <w:t xml:space="preserve">’, which is provided as part of key concept BOE1.1 </w:t>
      </w:r>
      <w:r w:rsidRPr="00150D91">
        <w:rPr>
          <w:b/>
          <w:i/>
        </w:rPr>
        <w:t>Food chains and food webs</w:t>
      </w:r>
      <w:r w:rsidRPr="00150D91">
        <w:rPr>
          <w:b/>
        </w:rPr>
        <w:t>. It starts in a very similar manner, and is extended by adding additional connections between organisms to represent dependence upon pollinators and decomposer</w:t>
      </w:r>
      <w:r>
        <w:rPr>
          <w:b/>
        </w:rPr>
        <w:t xml:space="preserve"> (ideally using different coloured strings)</w:t>
      </w:r>
      <w:r w:rsidRPr="00150D91">
        <w:rPr>
          <w:b/>
        </w:rPr>
        <w:t>.</w:t>
      </w:r>
    </w:p>
    <w:p w:rsidR="00A744C6" w:rsidRDefault="00A744C6" w:rsidP="004032EA">
      <w:pPr>
        <w:spacing w:after="180"/>
      </w:pPr>
      <w:r>
        <w:t xml:space="preserve">The organisms depicted on the student worksheet can be used for this exercise, or can be </w:t>
      </w:r>
      <w:r w:rsidR="00713853">
        <w:t>swapped</w:t>
      </w:r>
      <w:r>
        <w:t xml:space="preserve"> for other organisms that may be more familiar to the students – ideally </w:t>
      </w:r>
      <w:r w:rsidR="00713853">
        <w:t>from</w:t>
      </w:r>
      <w:r>
        <w:t xml:space="preserve"> a local ecosystem.</w:t>
      </w:r>
      <w:r w:rsidR="00713853">
        <w:t xml:space="preserve"> If the organisms from the student worksheet are used, the suggested food web is:</w:t>
      </w:r>
    </w:p>
    <w:p w:rsidR="00713853" w:rsidRDefault="00950337" w:rsidP="00950337">
      <w:pPr>
        <w:spacing w:after="180"/>
        <w:jc w:val="center"/>
      </w:pPr>
      <w:r>
        <w:rPr>
          <w:noProof/>
          <w:lang w:eastAsia="en-GB"/>
        </w:rPr>
        <w:drawing>
          <wp:inline distT="0" distB="0" distL="0" distR="0">
            <wp:extent cx="2085975" cy="238734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ood web.png"/>
                    <pic:cNvPicPr/>
                  </pic:nvPicPr>
                  <pic:blipFill>
                    <a:blip r:embed="rId16">
                      <a:extLst>
                        <a:ext uri="{28A0092B-C50C-407E-A947-70E740481C1C}">
                          <a14:useLocalDpi xmlns:a14="http://schemas.microsoft.com/office/drawing/2010/main" val="0"/>
                        </a:ext>
                      </a:extLst>
                    </a:blip>
                    <a:stretch>
                      <a:fillRect/>
                    </a:stretch>
                  </pic:blipFill>
                  <pic:spPr>
                    <a:xfrm>
                      <a:off x="0" y="0"/>
                      <a:ext cx="2102576" cy="2406340"/>
                    </a:xfrm>
                    <a:prstGeom prst="rect">
                      <a:avLst/>
                    </a:prstGeom>
                  </pic:spPr>
                </pic:pic>
              </a:graphicData>
            </a:graphic>
          </wp:inline>
        </w:drawing>
      </w:r>
    </w:p>
    <w:p w:rsidR="00A744C6" w:rsidRDefault="003E24A9" w:rsidP="004032EA">
      <w:pPr>
        <w:spacing w:after="180"/>
      </w:pPr>
      <w:r>
        <w:t>Procedure</w:t>
      </w:r>
    </w:p>
    <w:p w:rsidR="00B726C9" w:rsidRDefault="00B726C9" w:rsidP="00B726C9">
      <w:pPr>
        <w:pStyle w:val="ListParagraph"/>
        <w:numPr>
          <w:ilvl w:val="0"/>
          <w:numId w:val="7"/>
        </w:numPr>
        <w:spacing w:after="120"/>
        <w:ind w:left="425" w:hanging="357"/>
        <w:contextualSpacing w:val="0"/>
      </w:pPr>
      <w:r>
        <w:t>Give</w:t>
      </w:r>
      <w:r w:rsidRPr="00B726C9">
        <w:t xml:space="preserve"> organism label</w:t>
      </w:r>
      <w:r>
        <w:t>s</w:t>
      </w:r>
      <w:r w:rsidRPr="00B726C9">
        <w:t xml:space="preserve"> to </w:t>
      </w:r>
      <w:r>
        <w:t xml:space="preserve">students so that there is at least one student representing each population in the </w:t>
      </w:r>
      <w:r w:rsidR="00F5411F">
        <w:t>community</w:t>
      </w:r>
      <w:r w:rsidRPr="00B726C9">
        <w:t>.</w:t>
      </w:r>
    </w:p>
    <w:p w:rsidR="00B726C9" w:rsidRPr="00B726C9" w:rsidRDefault="008767A5" w:rsidP="000A2F34">
      <w:pPr>
        <w:pStyle w:val="ListParagraph"/>
        <w:numPr>
          <w:ilvl w:val="0"/>
          <w:numId w:val="7"/>
        </w:numPr>
        <w:spacing w:after="120"/>
        <w:ind w:left="425" w:hanging="357"/>
        <w:contextualSpacing w:val="0"/>
      </w:pPr>
      <w:r>
        <w:t xml:space="preserve">Give each student representing a </w:t>
      </w:r>
      <w:r w:rsidRPr="00431AED">
        <w:rPr>
          <w:b/>
        </w:rPr>
        <w:t>consumer</w:t>
      </w:r>
      <w:r w:rsidR="00B726C9" w:rsidRPr="00B726C9">
        <w:t xml:space="preserve"> </w:t>
      </w:r>
      <w:r w:rsidR="00F5411F">
        <w:t>one or more</w:t>
      </w:r>
      <w:r>
        <w:t xml:space="preserve"> string</w:t>
      </w:r>
      <w:r w:rsidR="00F5411F">
        <w:t>s (depending on how many different organisms they eat)</w:t>
      </w:r>
      <w:r>
        <w:t xml:space="preserve">, and tell them to </w:t>
      </w:r>
      <w:r w:rsidR="00B726C9" w:rsidRPr="00B726C9">
        <w:t xml:space="preserve">give </w:t>
      </w:r>
      <w:r>
        <w:t xml:space="preserve">them </w:t>
      </w:r>
      <w:r w:rsidR="00B726C9" w:rsidRPr="00B726C9">
        <w:t xml:space="preserve">the other end of </w:t>
      </w:r>
      <w:r w:rsidR="00431AED">
        <w:t>the</w:t>
      </w:r>
      <w:r w:rsidR="00F5411F">
        <w:t xml:space="preserve"> </w:t>
      </w:r>
      <w:r w:rsidR="00B726C9" w:rsidRPr="00B726C9">
        <w:t>string</w:t>
      </w:r>
      <w:r w:rsidR="00431AED">
        <w:t>(s)</w:t>
      </w:r>
      <w:r w:rsidR="00B726C9" w:rsidRPr="00B726C9">
        <w:t xml:space="preserve"> to </w:t>
      </w:r>
      <w:r w:rsidR="00431AED">
        <w:t>the</w:t>
      </w:r>
      <w:r w:rsidR="00F5411F">
        <w:t xml:space="preserve"> organism</w:t>
      </w:r>
      <w:r w:rsidR="00431AED">
        <w:t>(s)</w:t>
      </w:r>
      <w:r w:rsidR="00F5411F">
        <w:t xml:space="preserve"> they eat</w:t>
      </w:r>
      <w:r w:rsidR="00B726C9" w:rsidRPr="00B726C9">
        <w:t>.</w:t>
      </w:r>
    </w:p>
    <w:p w:rsidR="00431AED" w:rsidRDefault="00431AED" w:rsidP="00B726C9">
      <w:pPr>
        <w:pStyle w:val="ListParagraph"/>
        <w:numPr>
          <w:ilvl w:val="0"/>
          <w:numId w:val="7"/>
        </w:numPr>
        <w:spacing w:after="120"/>
        <w:ind w:left="425" w:hanging="357"/>
        <w:contextualSpacing w:val="0"/>
      </w:pPr>
      <w:r>
        <w:t xml:space="preserve">Give </w:t>
      </w:r>
      <w:r>
        <w:t xml:space="preserve">a string to </w:t>
      </w:r>
      <w:r>
        <w:t>each student representing a</w:t>
      </w:r>
      <w:r>
        <w:t>n organism that depends upon the ability of pollinators to pollinate flowering plants and crops</w:t>
      </w:r>
      <w:r w:rsidR="00091B44">
        <w:t xml:space="preserve"> </w:t>
      </w:r>
      <w:r w:rsidR="00091B44">
        <w:t>(this is likely to be all of the organisms in the community)</w:t>
      </w:r>
      <w:r>
        <w:t xml:space="preserve">. Then give the other ends of these strings to the </w:t>
      </w:r>
      <w:r w:rsidRPr="00091B44">
        <w:rPr>
          <w:b/>
        </w:rPr>
        <w:t>pollinator</w:t>
      </w:r>
      <w:r>
        <w:t xml:space="preserve"> population(s) (e.g. bees).</w:t>
      </w:r>
    </w:p>
    <w:p w:rsidR="00431AED" w:rsidRPr="00431AED" w:rsidRDefault="00431AED" w:rsidP="00431AED">
      <w:pPr>
        <w:pStyle w:val="ListParagraph"/>
        <w:spacing w:after="120"/>
        <w:ind w:left="425"/>
        <w:contextualSpacing w:val="0"/>
        <w:rPr>
          <w:i/>
        </w:rPr>
      </w:pPr>
      <w:r w:rsidRPr="00431AED">
        <w:rPr>
          <w:i/>
        </w:rPr>
        <w:t>Ideally, these strings should be a different colour to the string</w:t>
      </w:r>
      <w:r>
        <w:rPr>
          <w:i/>
        </w:rPr>
        <w:t>s</w:t>
      </w:r>
      <w:r w:rsidRPr="00431AED">
        <w:rPr>
          <w:i/>
        </w:rPr>
        <w:t xml:space="preserve"> used to join consumers to the organisms they eat.</w:t>
      </w:r>
    </w:p>
    <w:p w:rsidR="00091B44" w:rsidRDefault="00091B44" w:rsidP="00091B44">
      <w:pPr>
        <w:pStyle w:val="ListParagraph"/>
        <w:numPr>
          <w:ilvl w:val="0"/>
          <w:numId w:val="7"/>
        </w:numPr>
        <w:spacing w:after="120"/>
        <w:ind w:left="425" w:hanging="357"/>
        <w:contextualSpacing w:val="0"/>
      </w:pPr>
      <w:r>
        <w:t xml:space="preserve">Give a string to each student representing an organism that depends upon the ability of </w:t>
      </w:r>
      <w:r>
        <w:t>decomposers to breakdown dead organic matter and make essential elements available for reuse (this is likely to be all of the organisms in the community)</w:t>
      </w:r>
      <w:r>
        <w:t xml:space="preserve">. Then give the other ends of these strings to the </w:t>
      </w:r>
      <w:r w:rsidRPr="00091B44">
        <w:rPr>
          <w:b/>
        </w:rPr>
        <w:t>decomposer</w:t>
      </w:r>
      <w:r>
        <w:t xml:space="preserve"> population</w:t>
      </w:r>
      <w:r>
        <w:t>.</w:t>
      </w:r>
    </w:p>
    <w:p w:rsidR="00431AED" w:rsidRDefault="00091B44" w:rsidP="00091B44">
      <w:pPr>
        <w:pStyle w:val="ListParagraph"/>
        <w:spacing w:after="120"/>
        <w:ind w:left="425"/>
        <w:contextualSpacing w:val="0"/>
      </w:pPr>
      <w:r>
        <w:rPr>
          <w:i/>
        </w:rPr>
        <w:t>Again, i</w:t>
      </w:r>
      <w:r w:rsidRPr="00431AED">
        <w:rPr>
          <w:i/>
        </w:rPr>
        <w:t>deally these strings should be a different colour.</w:t>
      </w:r>
      <w:r>
        <w:rPr>
          <w:i/>
        </w:rPr>
        <w:t xml:space="preserve"> Students will notice that the organisms in the community are now highly</w:t>
      </w:r>
      <w:r w:rsidR="003C3D99">
        <w:rPr>
          <w:i/>
        </w:rPr>
        <w:t xml:space="preserve"> connected and</w:t>
      </w:r>
      <w:r>
        <w:rPr>
          <w:i/>
        </w:rPr>
        <w:t xml:space="preserve"> interdependent!</w:t>
      </w:r>
    </w:p>
    <w:p w:rsidR="003E24A9" w:rsidRDefault="00B726C9" w:rsidP="00B726C9">
      <w:pPr>
        <w:pStyle w:val="ListParagraph"/>
        <w:numPr>
          <w:ilvl w:val="0"/>
          <w:numId w:val="7"/>
        </w:numPr>
        <w:spacing w:after="120"/>
        <w:ind w:left="425" w:hanging="357"/>
        <w:contextualSpacing w:val="0"/>
      </w:pPr>
      <w:r w:rsidRPr="00B726C9">
        <w:t>You</w:t>
      </w:r>
      <w:r w:rsidR="008767A5">
        <w:t xml:space="preserve"> </w:t>
      </w:r>
      <w:r w:rsidR="00150D91">
        <w:t>c</w:t>
      </w:r>
      <w:r w:rsidR="008767A5">
        <w:t xml:space="preserve">ould now </w:t>
      </w:r>
      <w:r w:rsidRPr="00B726C9">
        <w:t xml:space="preserve">describe a change to one of the populations in the </w:t>
      </w:r>
      <w:r w:rsidR="00150D91">
        <w:t>community</w:t>
      </w:r>
      <w:r w:rsidRPr="00B726C9">
        <w:t xml:space="preserve">. </w:t>
      </w:r>
      <w:r w:rsidR="008767A5">
        <w:t>For example</w:t>
      </w:r>
      <w:r w:rsidR="003E24A9">
        <w:t>:</w:t>
      </w:r>
      <w:r w:rsidR="008767A5">
        <w:t xml:space="preserve"> a population has been wiped out by a disease, or over-hunting, or destruction of their </w:t>
      </w:r>
      <w:r w:rsidR="003E24A9">
        <w:t xml:space="preserve">habitat; or a population has increased in size due to a warm spring. If a population decreases in size, some or all of the students representing that population should sit down and drop their ends of the string; the student holding the other end of a dropped </w:t>
      </w:r>
      <w:r w:rsidR="00F5490A">
        <w:t xml:space="preserve">string </w:t>
      </w:r>
      <w:r w:rsidR="003E24A9">
        <w:t>should also drop it and sit down.</w:t>
      </w:r>
    </w:p>
    <w:p w:rsidR="00B726C9" w:rsidRPr="00B726C9" w:rsidRDefault="003E24A9" w:rsidP="00B726C9">
      <w:pPr>
        <w:pStyle w:val="ListParagraph"/>
        <w:numPr>
          <w:ilvl w:val="0"/>
          <w:numId w:val="7"/>
        </w:numPr>
        <w:spacing w:after="120"/>
        <w:ind w:left="425" w:hanging="357"/>
        <w:contextualSpacing w:val="0"/>
      </w:pPr>
      <w:r>
        <w:t xml:space="preserve">Ask students to role play how the effects of a change in </w:t>
      </w:r>
      <w:r w:rsidR="003315D3">
        <w:t xml:space="preserve">the size of </w:t>
      </w:r>
      <w:r>
        <w:t xml:space="preserve">one population spread through the </w:t>
      </w:r>
      <w:r w:rsidR="00F5490A">
        <w:t>community</w:t>
      </w:r>
      <w:r>
        <w:t xml:space="preserve"> to </w:t>
      </w:r>
      <w:r w:rsidR="003315D3">
        <w:t xml:space="preserve">change the sizes of </w:t>
      </w:r>
      <w:r>
        <w:t>other populations.</w:t>
      </w:r>
    </w:p>
    <w:p w:rsidR="00BB44B4" w:rsidRPr="00800549" w:rsidRDefault="004032EA" w:rsidP="00BB44B4">
      <w:pPr>
        <w:spacing w:after="180"/>
        <w:rPr>
          <w:sz w:val="24"/>
        </w:rPr>
      </w:pPr>
      <w:r w:rsidRPr="00A82D25">
        <w:rPr>
          <w:b/>
          <w:color w:val="538135"/>
          <w:sz w:val="24"/>
        </w:rPr>
        <w:t>Equipment</w:t>
      </w:r>
      <w:r w:rsidR="00800549">
        <w:rPr>
          <w:b/>
          <w:color w:val="76923C" w:themeColor="accent3" w:themeShade="BF"/>
          <w:sz w:val="24"/>
        </w:rPr>
        <w:t xml:space="preserve"> </w:t>
      </w:r>
    </w:p>
    <w:p w:rsidR="004032EA" w:rsidRDefault="00891369" w:rsidP="004032EA">
      <w:pPr>
        <w:spacing w:after="180"/>
      </w:pPr>
      <w:r>
        <w:t>For the class</w:t>
      </w:r>
      <w:r w:rsidR="004032EA" w:rsidRPr="00C57FA2">
        <w:t>:</w:t>
      </w:r>
    </w:p>
    <w:p w:rsidR="004032EA" w:rsidRDefault="00891369" w:rsidP="004032EA">
      <w:pPr>
        <w:pStyle w:val="ListParagraph"/>
        <w:numPr>
          <w:ilvl w:val="0"/>
          <w:numId w:val="1"/>
        </w:numPr>
        <w:spacing w:after="180"/>
      </w:pPr>
      <w:r>
        <w:t>organism labels (e.g. sticky notes, lanyards, clip-on name cards, badges, etc.)</w:t>
      </w:r>
    </w:p>
    <w:p w:rsidR="00891369" w:rsidRDefault="00891369" w:rsidP="004032EA">
      <w:pPr>
        <w:pStyle w:val="ListParagraph"/>
        <w:numPr>
          <w:ilvl w:val="0"/>
          <w:numId w:val="1"/>
        </w:numPr>
        <w:spacing w:after="180"/>
      </w:pPr>
      <w:r>
        <w:t xml:space="preserve">lengths of string, </w:t>
      </w:r>
      <w:r w:rsidR="001E4A3C">
        <w:t>ideally in three different colours</w:t>
      </w:r>
    </w:p>
    <w:p w:rsidR="003117F6" w:rsidRPr="00A82D25" w:rsidRDefault="00CC78A5" w:rsidP="00026DEC">
      <w:pPr>
        <w:spacing w:after="180"/>
        <w:rPr>
          <w:b/>
          <w:color w:val="538135"/>
          <w:sz w:val="24"/>
        </w:rPr>
      </w:pPr>
      <w:r w:rsidRPr="00A82D25">
        <w:rPr>
          <w:b/>
          <w:color w:val="538135"/>
          <w:sz w:val="24"/>
        </w:rPr>
        <w:t>Acknowledgments</w:t>
      </w:r>
    </w:p>
    <w:p w:rsidR="00D278E8" w:rsidRDefault="00D278E8" w:rsidP="00E172C6">
      <w:pPr>
        <w:spacing w:after="180"/>
      </w:pPr>
      <w:r w:rsidRPr="00A070FC">
        <w:t xml:space="preserve">Developed </w:t>
      </w:r>
      <w:r w:rsidR="0015356E" w:rsidRPr="00A070FC">
        <w:t xml:space="preserve">by </w:t>
      </w:r>
      <w:r w:rsidR="00A070FC" w:rsidRPr="00A070FC">
        <w:t>Alistair Moore</w:t>
      </w:r>
      <w:r w:rsidR="0015356E" w:rsidRPr="00A070FC">
        <w:t xml:space="preserve"> (UYSEG), </w:t>
      </w:r>
      <w:r w:rsidR="00B726C9">
        <w:t xml:space="preserve">adapted </w:t>
      </w:r>
      <w:r w:rsidRPr="00A070FC">
        <w:t xml:space="preserve">from an idea </w:t>
      </w:r>
      <w:r w:rsidR="00A070FC" w:rsidRPr="00A070FC">
        <w:t xml:space="preserve">described </w:t>
      </w:r>
      <w:r w:rsidRPr="00A070FC">
        <w:t>by</w:t>
      </w:r>
      <w:r w:rsidR="00A070FC" w:rsidRPr="00A070FC">
        <w:t xml:space="preserve"> Ford and Smith </w:t>
      </w:r>
      <w:r w:rsidR="00A070FC" w:rsidRPr="00A070FC">
        <w:fldChar w:fldCharType="begin"/>
      </w:r>
      <w:r w:rsidR="00A070FC" w:rsidRPr="00A070FC">
        <w:instrText xml:space="preserve"> ADDIN EN.CITE &lt;EndNote&gt;&lt;Cite ExcludeAuth="1"&gt;&lt;Author&gt;Ford&lt;/Author&gt;&lt;Year&gt;1994&lt;/Year&gt;&lt;IDText&gt;Food webs and environmental disturbance: what&amp;apos;s the connection?&lt;/IDText&gt;&lt;DisplayText&gt;(1994)&lt;/DisplayText&gt;&lt;record&gt;&lt;keywords&gt;&lt;keyword&gt;Biology&lt;/keyword&gt;&lt;keyword&gt;Ecology&lt;/keyword&gt;&lt;keyword&gt;Environment&lt;/keyword&gt;&lt;keyword&gt;High Schools&lt;/keyword&gt;&lt;keyword&gt;Learning Activities&lt;/keyword&gt;&lt;keyword&gt;Science Activities&lt;/keyword&gt;&lt;keyword&gt;Science Education&lt;/keyword&gt;&lt;keyword&gt;Science Instruction&lt;/keyword&gt;&lt;keyword&gt;Scientific Concepts&lt;/keyword&gt;&lt;keyword&gt;Secondary School Science&lt;/keyword&gt;&lt;keyword&gt;Teaching Methods&lt;/keyword&gt;&lt;keyword&gt;Food Webs&lt;/keyword&gt;&lt;/keywords&gt;&lt;urls&gt;&lt;related-urls&gt;&lt;url&gt;http://search.ebscohost.com/login.aspx?direct=true&amp;amp;db=eric&amp;amp;AN=EJ482287&amp;amp;site=ehost-live&lt;/url&gt;&lt;/related-urls&gt;&lt;/urls&gt;&lt;isbn&gt;0002-7685&lt;/isbn&gt;&lt;titles&gt;&lt;title&gt;Food webs and environmental disturbance: what&amp;apos;s the connection?&lt;/title&gt;&lt;secondary-title&gt;American Biology Teacher&lt;/secondary-title&gt;&lt;/titles&gt;&lt;pages&gt;247-49&lt;/pages&gt;&lt;contributors&gt;&lt;authors&gt;&lt;author&gt;Ford, Bob&lt;/author&gt;&lt;author&gt;Smith, Bruce M.&lt;/author&gt;&lt;/authors&gt;&lt;/contributors&gt;&lt;added-date format="utc"&gt;1551622616&lt;/added-date&gt;&lt;ref-type name="Journal Article"&gt;17&lt;/ref-type&gt;&lt;dates&gt;&lt;year&gt;1994&lt;/year&gt;&lt;/dates&gt;&lt;remote-database-provider&gt;EBSCOhost&lt;/remote-database-provider&gt;&lt;rec-number&gt;8631&lt;/rec-number&gt;&lt;last-updated-date format="utc"&gt;1551622992&lt;/last-updated-date&gt;&lt;volume&gt;56&lt;/volume&gt;&lt;remote-database-name&gt;eric&lt;/remote-database-name&gt;&lt;/record&gt;&lt;/Cite&gt;&lt;/EndNote&gt;</w:instrText>
      </w:r>
      <w:r w:rsidR="00A070FC" w:rsidRPr="00A070FC">
        <w:fldChar w:fldCharType="separate"/>
      </w:r>
      <w:r w:rsidR="00A070FC" w:rsidRPr="00A070FC">
        <w:rPr>
          <w:noProof/>
        </w:rPr>
        <w:t>(1994)</w:t>
      </w:r>
      <w:r w:rsidR="00A070FC" w:rsidRPr="00A070FC">
        <w:fldChar w:fldCharType="end"/>
      </w:r>
      <w:r w:rsidRPr="00A070FC">
        <w:t>.</w:t>
      </w:r>
    </w:p>
    <w:p w:rsidR="00C667A0" w:rsidRPr="000E5E0B" w:rsidRDefault="00A070FC" w:rsidP="00026DEC">
      <w:pPr>
        <w:spacing w:after="180"/>
        <w:rPr>
          <w:sz w:val="20"/>
        </w:rPr>
      </w:pPr>
      <w:r w:rsidRPr="000E5E0B">
        <w:rPr>
          <w:sz w:val="20"/>
        </w:rPr>
        <w:t>Images: bee – pixabay.com/Clker-Free-Vector-Images (297305); blackbird – pixabay.com/OpenClipart-Vectors (154654); owl – adapted by UYSEG from pixabay.com/Clker-Free-Vector-Images (46506)</w:t>
      </w:r>
      <w:r w:rsidR="00C667A0" w:rsidRPr="000E5E0B">
        <w:rPr>
          <w:sz w:val="20"/>
        </w:rPr>
        <w:t xml:space="preserve">; pig – pixabay.com/Clker-Free-Vector-Images (48368); fungi – pixabay.com/Jazella (3933251); corn/maize – adapted by UYSEG from pixabay.com/OpenClipart-Vectors (155126 and 1299174); </w:t>
      </w:r>
      <w:r w:rsidR="000E5E0B" w:rsidRPr="000E5E0B">
        <w:rPr>
          <w:sz w:val="20"/>
        </w:rPr>
        <w:t>human – pixabay.com/mohamed_hassan (2791740)</w:t>
      </w:r>
    </w:p>
    <w:p w:rsidR="003117F6" w:rsidRPr="00A82D25" w:rsidRDefault="003117F6" w:rsidP="00026DEC">
      <w:pPr>
        <w:spacing w:after="180"/>
        <w:rPr>
          <w:b/>
          <w:color w:val="538135"/>
          <w:sz w:val="24"/>
        </w:rPr>
      </w:pPr>
      <w:r w:rsidRPr="00A82D25">
        <w:rPr>
          <w:b/>
          <w:color w:val="538135"/>
          <w:sz w:val="24"/>
        </w:rPr>
        <w:t>References</w:t>
      </w:r>
    </w:p>
    <w:p w:rsidR="00946D16" w:rsidRPr="00946D16" w:rsidRDefault="00946D16" w:rsidP="00946D16">
      <w:pPr>
        <w:pStyle w:val="EndNoteBibliography"/>
        <w:spacing w:after="120"/>
        <w:rPr>
          <w:sz w:val="20"/>
          <w:szCs w:val="20"/>
        </w:rPr>
      </w:pPr>
      <w:r w:rsidRPr="00946D16">
        <w:rPr>
          <w:sz w:val="20"/>
          <w:szCs w:val="20"/>
        </w:rPr>
        <w:fldChar w:fldCharType="begin"/>
      </w:r>
      <w:r w:rsidRPr="00946D16">
        <w:rPr>
          <w:sz w:val="20"/>
          <w:szCs w:val="20"/>
        </w:rPr>
        <w:instrText xml:space="preserve"> ADDIN EN.REFLIST </w:instrText>
      </w:r>
      <w:r w:rsidRPr="00946D16">
        <w:rPr>
          <w:sz w:val="20"/>
          <w:szCs w:val="20"/>
        </w:rPr>
        <w:fldChar w:fldCharType="separate"/>
      </w:r>
      <w:r w:rsidRPr="00946D16">
        <w:rPr>
          <w:sz w:val="20"/>
          <w:szCs w:val="20"/>
        </w:rPr>
        <w:t xml:space="preserve">Allen, M. (2014). </w:t>
      </w:r>
      <w:r w:rsidRPr="00946D16">
        <w:rPr>
          <w:i/>
          <w:sz w:val="20"/>
          <w:szCs w:val="20"/>
        </w:rPr>
        <w:t xml:space="preserve">Misconceptions in Primary Science, 2nd </w:t>
      </w:r>
      <w:r w:rsidRPr="00946D16">
        <w:rPr>
          <w:sz w:val="20"/>
          <w:szCs w:val="20"/>
        </w:rPr>
        <w:t>edn</w:t>
      </w:r>
      <w:r w:rsidRPr="00946D16">
        <w:rPr>
          <w:i/>
          <w:sz w:val="20"/>
          <w:szCs w:val="20"/>
        </w:rPr>
        <w:t xml:space="preserve"> </w:t>
      </w:r>
      <w:r w:rsidRPr="00946D16">
        <w:rPr>
          <w:sz w:val="20"/>
          <w:szCs w:val="20"/>
        </w:rPr>
        <w:t>Berkshire, UK: Open University Press.</w:t>
      </w:r>
    </w:p>
    <w:p w:rsidR="00946D16" w:rsidRPr="00946D16" w:rsidRDefault="00946D16" w:rsidP="00946D16">
      <w:pPr>
        <w:pStyle w:val="EndNoteBibliography"/>
        <w:spacing w:after="120"/>
        <w:rPr>
          <w:sz w:val="20"/>
          <w:szCs w:val="20"/>
        </w:rPr>
      </w:pPr>
      <w:r w:rsidRPr="00946D16">
        <w:rPr>
          <w:sz w:val="20"/>
          <w:szCs w:val="20"/>
        </w:rPr>
        <w:t xml:space="preserve">Brinkman, F. and Boschhuizen, R. (1989). Preinstructional ideas in biology: A survey in relation with different research methods on concepts of health and energy. In Voorbach, M. T. &amp; Prick, K. G. M. (eds.) </w:t>
      </w:r>
      <w:r w:rsidRPr="00946D16">
        <w:rPr>
          <w:i/>
          <w:sz w:val="20"/>
          <w:szCs w:val="20"/>
        </w:rPr>
        <w:t>Teacher Education 5: Research and Developments on Teacher Education in the Netherlands.</w:t>
      </w:r>
      <w:r w:rsidRPr="00946D16">
        <w:rPr>
          <w:sz w:val="20"/>
          <w:szCs w:val="20"/>
        </w:rPr>
        <w:t xml:space="preserve"> London, UK: Bloomsbury Paperbacks.</w:t>
      </w:r>
    </w:p>
    <w:p w:rsidR="00946D16" w:rsidRPr="00946D16" w:rsidRDefault="00946D16" w:rsidP="00946D16">
      <w:pPr>
        <w:pStyle w:val="EndNoteBibliography"/>
        <w:spacing w:after="120"/>
        <w:rPr>
          <w:sz w:val="20"/>
          <w:szCs w:val="20"/>
        </w:rPr>
      </w:pPr>
      <w:r w:rsidRPr="00946D16">
        <w:rPr>
          <w:sz w:val="20"/>
          <w:szCs w:val="20"/>
        </w:rPr>
        <w:t xml:space="preserve">Driver, R., et al. (1994). </w:t>
      </w:r>
      <w:r w:rsidRPr="00946D16">
        <w:rPr>
          <w:i/>
          <w:sz w:val="20"/>
          <w:szCs w:val="20"/>
        </w:rPr>
        <w:t xml:space="preserve">Making Sense of Secondary Science: Research into Children's Ideas, </w:t>
      </w:r>
      <w:r w:rsidRPr="00946D16">
        <w:rPr>
          <w:sz w:val="20"/>
          <w:szCs w:val="20"/>
        </w:rPr>
        <w:t>London, UK: Routledge.</w:t>
      </w:r>
    </w:p>
    <w:p w:rsidR="00946D16" w:rsidRPr="00946D16" w:rsidRDefault="00946D16" w:rsidP="00946D16">
      <w:pPr>
        <w:pStyle w:val="EndNoteBibliography"/>
        <w:spacing w:after="120"/>
        <w:rPr>
          <w:sz w:val="20"/>
          <w:szCs w:val="20"/>
        </w:rPr>
      </w:pPr>
      <w:r w:rsidRPr="00946D16">
        <w:rPr>
          <w:sz w:val="20"/>
          <w:szCs w:val="20"/>
        </w:rPr>
        <w:t xml:space="preserve">Díaz, S., et al. (2006). Biodiversity loss threatens human well-being. </w:t>
      </w:r>
      <w:r w:rsidRPr="00946D16">
        <w:rPr>
          <w:i/>
          <w:sz w:val="20"/>
          <w:szCs w:val="20"/>
        </w:rPr>
        <w:t>PLoS Biology,</w:t>
      </w:r>
      <w:r w:rsidRPr="00946D16">
        <w:rPr>
          <w:sz w:val="20"/>
          <w:szCs w:val="20"/>
        </w:rPr>
        <w:t xml:space="preserve"> 4(8)</w:t>
      </w:r>
      <w:r w:rsidRPr="00946D16">
        <w:rPr>
          <w:b/>
          <w:sz w:val="20"/>
          <w:szCs w:val="20"/>
        </w:rPr>
        <w:t>,</w:t>
      </w:r>
      <w:r w:rsidRPr="00946D16">
        <w:rPr>
          <w:sz w:val="20"/>
          <w:szCs w:val="20"/>
        </w:rPr>
        <w:t xml:space="preserve"> e277.</w:t>
      </w:r>
    </w:p>
    <w:p w:rsidR="00946D16" w:rsidRPr="00946D16" w:rsidRDefault="00946D16" w:rsidP="00946D16">
      <w:pPr>
        <w:pStyle w:val="EndNoteBibliography"/>
        <w:spacing w:after="120"/>
        <w:rPr>
          <w:sz w:val="20"/>
          <w:szCs w:val="20"/>
        </w:rPr>
      </w:pPr>
      <w:r w:rsidRPr="00946D16">
        <w:rPr>
          <w:sz w:val="20"/>
          <w:szCs w:val="20"/>
        </w:rPr>
        <w:t xml:space="preserve">Ford, B. and Smith, B. M. (1994). Food webs and environmental disturbance: what's the connection? </w:t>
      </w:r>
      <w:r w:rsidRPr="00946D16">
        <w:rPr>
          <w:i/>
          <w:sz w:val="20"/>
          <w:szCs w:val="20"/>
        </w:rPr>
        <w:t>American Biology Teacher,</w:t>
      </w:r>
      <w:r w:rsidRPr="00946D16">
        <w:rPr>
          <w:sz w:val="20"/>
          <w:szCs w:val="20"/>
        </w:rPr>
        <w:t xml:space="preserve"> 56</w:t>
      </w:r>
      <w:r w:rsidRPr="00946D16">
        <w:rPr>
          <w:b/>
          <w:sz w:val="20"/>
          <w:szCs w:val="20"/>
        </w:rPr>
        <w:t>,</w:t>
      </w:r>
      <w:r w:rsidRPr="00946D16">
        <w:rPr>
          <w:sz w:val="20"/>
          <w:szCs w:val="20"/>
        </w:rPr>
        <w:t xml:space="preserve"> 247-49.</w:t>
      </w:r>
    </w:p>
    <w:p w:rsidR="00946D16" w:rsidRPr="00946D16" w:rsidRDefault="00946D16" w:rsidP="00946D16">
      <w:pPr>
        <w:pStyle w:val="EndNoteBibliography"/>
        <w:spacing w:after="120"/>
        <w:rPr>
          <w:sz w:val="20"/>
          <w:szCs w:val="20"/>
        </w:rPr>
      </w:pPr>
      <w:r w:rsidRPr="00946D16">
        <w:rPr>
          <w:sz w:val="20"/>
          <w:szCs w:val="20"/>
        </w:rPr>
        <w:t>Leach, J., et al. (1992). Progression in conceptual understanding of ecological concepts by pupils aged 5-16. University of Leeds, UK: Centre for Studies in Science and Mathematics Education.</w:t>
      </w:r>
    </w:p>
    <w:p w:rsidR="00946D16" w:rsidRPr="00946D16" w:rsidRDefault="00946D16" w:rsidP="00946D16">
      <w:pPr>
        <w:pStyle w:val="EndNoteBibliography"/>
        <w:spacing w:after="120"/>
        <w:rPr>
          <w:sz w:val="20"/>
          <w:szCs w:val="20"/>
        </w:rPr>
      </w:pPr>
      <w:r w:rsidRPr="00946D16">
        <w:rPr>
          <w:sz w:val="20"/>
          <w:szCs w:val="20"/>
        </w:rPr>
        <w:t xml:space="preserve">Potts, S. G., et al. (2010). Global pollinator declines: trends, impacts and drivers. </w:t>
      </w:r>
      <w:r w:rsidRPr="00946D16">
        <w:rPr>
          <w:i/>
          <w:sz w:val="20"/>
          <w:szCs w:val="20"/>
        </w:rPr>
        <w:t>Trends in Ecology and Evolution,</w:t>
      </w:r>
      <w:r w:rsidRPr="00946D16">
        <w:rPr>
          <w:sz w:val="20"/>
          <w:szCs w:val="20"/>
        </w:rPr>
        <w:t xml:space="preserve"> 25(6)</w:t>
      </w:r>
      <w:r w:rsidRPr="00946D16">
        <w:rPr>
          <w:b/>
          <w:sz w:val="20"/>
          <w:szCs w:val="20"/>
        </w:rPr>
        <w:t>,</w:t>
      </w:r>
      <w:r w:rsidRPr="00946D16">
        <w:rPr>
          <w:sz w:val="20"/>
          <w:szCs w:val="20"/>
        </w:rPr>
        <w:t xml:space="preserve"> 345-353.</w:t>
      </w:r>
    </w:p>
    <w:p w:rsidR="00946D16" w:rsidRPr="00946D16" w:rsidRDefault="00946D16" w:rsidP="00946D16">
      <w:pPr>
        <w:pStyle w:val="EndNoteBibliography"/>
        <w:spacing w:after="120"/>
        <w:rPr>
          <w:sz w:val="20"/>
          <w:szCs w:val="20"/>
        </w:rPr>
      </w:pPr>
      <w:r w:rsidRPr="00946D16">
        <w:rPr>
          <w:sz w:val="20"/>
          <w:szCs w:val="20"/>
        </w:rPr>
        <w:t xml:space="preserve">Schönfelder, M. L. and Bogner, F. X. (2017). Two ways of acquiring environmental knowledge: by encountering living animals at a beehive and by observing bees via digital tools. </w:t>
      </w:r>
      <w:r w:rsidRPr="00946D16">
        <w:rPr>
          <w:i/>
          <w:sz w:val="20"/>
          <w:szCs w:val="20"/>
        </w:rPr>
        <w:t>International Journal of Science Education,</w:t>
      </w:r>
      <w:r w:rsidRPr="00946D16">
        <w:rPr>
          <w:sz w:val="20"/>
          <w:szCs w:val="20"/>
        </w:rPr>
        <w:t xml:space="preserve"> 39(6)</w:t>
      </w:r>
      <w:r w:rsidRPr="00946D16">
        <w:rPr>
          <w:b/>
          <w:sz w:val="20"/>
          <w:szCs w:val="20"/>
        </w:rPr>
        <w:t>,</w:t>
      </w:r>
      <w:r w:rsidRPr="00946D16">
        <w:rPr>
          <w:sz w:val="20"/>
          <w:szCs w:val="20"/>
        </w:rPr>
        <w:t xml:space="preserve"> 723-741.</w:t>
      </w:r>
    </w:p>
    <w:p w:rsidR="00A82D25" w:rsidRPr="000F28B4" w:rsidRDefault="00946D16" w:rsidP="00946D16">
      <w:pPr>
        <w:spacing w:after="120"/>
        <w:rPr>
          <w:sz w:val="20"/>
        </w:rPr>
      </w:pPr>
      <w:r w:rsidRPr="00946D16">
        <w:rPr>
          <w:sz w:val="20"/>
          <w:szCs w:val="20"/>
        </w:rPr>
        <w:fldChar w:fldCharType="end"/>
      </w:r>
    </w:p>
    <w:sectPr w:rsidR="00A82D25" w:rsidRPr="000F28B4" w:rsidSect="00642ECD">
      <w:headerReference w:type="default" r:id="rId17"/>
      <w:footerReference w:type="default" r:id="rId18"/>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27C0C" w:rsidRDefault="00427C0C" w:rsidP="000B473B">
      <w:r>
        <w:separator/>
      </w:r>
    </w:p>
  </w:endnote>
  <w:endnote w:type="continuationSeparator" w:id="0">
    <w:p w:rsidR="00427C0C" w:rsidRDefault="00427C0C"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Default="00201AC2"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6DCE372F" wp14:editId="1B27F0ED">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6348E6F"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A52755">
      <w:rPr>
        <w:noProof/>
      </w:rPr>
      <w:t>1</w:t>
    </w:r>
    <w:r>
      <w:rPr>
        <w:noProof/>
      </w:rPr>
      <w:fldChar w:fldCharType="end"/>
    </w:r>
  </w:p>
  <w:p w:rsidR="00201AC2" w:rsidRDefault="00201AC2" w:rsidP="00201AC2">
    <w:pPr>
      <w:pStyle w:val="Footer"/>
      <w:tabs>
        <w:tab w:val="clear" w:pos="4513"/>
        <w:tab w:val="clear" w:pos="9026"/>
        <w:tab w:val="right" w:pos="9072"/>
      </w:tabs>
      <w:rPr>
        <w:sz w:val="16"/>
        <w:szCs w:val="16"/>
      </w:rPr>
    </w:pPr>
    <w:r>
      <w:rPr>
        <w:sz w:val="16"/>
        <w:szCs w:val="16"/>
      </w:rPr>
      <w:t xml:space="preserve">This </w:t>
    </w:r>
    <w:r w:rsidR="00A82D25">
      <w:rPr>
        <w:sz w:val="16"/>
        <w:szCs w:val="16"/>
      </w:rPr>
      <w:t>document</w:t>
    </w:r>
    <w:r>
      <w:rPr>
        <w:sz w:val="16"/>
        <w:szCs w:val="16"/>
      </w:rPr>
      <w:t xml:space="preserve"> may have been edited. Download the original from </w:t>
    </w:r>
    <w:r w:rsidRPr="00ED4562">
      <w:rPr>
        <w:b/>
        <w:sz w:val="16"/>
        <w:szCs w:val="16"/>
      </w:rPr>
      <w:t>www.BestEvidenceScienceTeaching.org</w:t>
    </w:r>
  </w:p>
  <w:p w:rsidR="00F12C3B" w:rsidRPr="00201AC2" w:rsidRDefault="00972187" w:rsidP="00972187">
    <w:pPr>
      <w:pStyle w:val="Footer"/>
      <w:rPr>
        <w:sz w:val="16"/>
        <w:szCs w:val="16"/>
      </w:rPr>
    </w:pPr>
    <w:r w:rsidRPr="00972187">
      <w:rPr>
        <w:sz w:val="16"/>
        <w:szCs w:val="16"/>
      </w:rPr>
      <w:t>© University of York Science Education Group. Distributed under a Creative Commons Attribution-NonCommercial (CC BY-NC) license.</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28B4" w:rsidRDefault="000F28B4"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6432" behindDoc="0" locked="0" layoutInCell="1" allowOverlap="1" wp14:anchorId="072E3666" wp14:editId="12E9907E">
              <wp:simplePos x="0" y="0"/>
              <wp:positionH relativeFrom="column">
                <wp:posOffset>-914400</wp:posOffset>
              </wp:positionH>
              <wp:positionV relativeFrom="paragraph">
                <wp:posOffset>-56515</wp:posOffset>
              </wp:positionV>
              <wp:extent cx="7570800" cy="0"/>
              <wp:effectExtent l="0" t="0" r="30480" b="19050"/>
              <wp:wrapNone/>
              <wp:docPr id="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3B2CE9A"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64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A52755">
      <w:rPr>
        <w:noProof/>
      </w:rPr>
      <w:t>2</w:t>
    </w:r>
    <w:r>
      <w:rPr>
        <w:noProof/>
      </w:rPr>
      <w:fldChar w:fldCharType="end"/>
    </w:r>
  </w:p>
  <w:p w:rsidR="000F28B4" w:rsidRDefault="000F28B4" w:rsidP="00201AC2">
    <w:pPr>
      <w:pStyle w:val="Footer"/>
      <w:tabs>
        <w:tab w:val="clear" w:pos="4513"/>
        <w:tab w:val="clear" w:pos="9026"/>
        <w:tab w:val="right" w:pos="9072"/>
      </w:tabs>
      <w:rPr>
        <w:sz w:val="16"/>
        <w:szCs w:val="16"/>
      </w:rPr>
    </w:pPr>
    <w:r>
      <w:rPr>
        <w:sz w:val="16"/>
        <w:szCs w:val="16"/>
      </w:rPr>
      <w:t xml:space="preserve">This document may have been edited. Download the original from </w:t>
    </w:r>
    <w:r w:rsidRPr="00ED4562">
      <w:rPr>
        <w:b/>
        <w:sz w:val="16"/>
        <w:szCs w:val="16"/>
      </w:rPr>
      <w:t>www.BestEvidenceScienceTeaching.org</w:t>
    </w:r>
  </w:p>
  <w:p w:rsidR="000F28B4" w:rsidRPr="00201AC2" w:rsidRDefault="000F28B4" w:rsidP="00972187">
    <w:pPr>
      <w:pStyle w:val="Footer"/>
      <w:rPr>
        <w:sz w:val="16"/>
        <w:szCs w:val="16"/>
      </w:rPr>
    </w:pPr>
    <w:r w:rsidRPr="00972187">
      <w:rPr>
        <w:sz w:val="16"/>
        <w:szCs w:val="16"/>
      </w:rPr>
      <w:t>© University of York Science Education 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27C0C" w:rsidRDefault="00427C0C" w:rsidP="000B473B">
      <w:r>
        <w:separator/>
      </w:r>
    </w:p>
  </w:footnote>
  <w:footnote w:type="continuationSeparator" w:id="0">
    <w:p w:rsidR="00427C0C" w:rsidRDefault="00427C0C"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2C3B" w:rsidRPr="004E5592" w:rsidRDefault="00BA7952"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58240" behindDoc="0" locked="0" layoutInCell="1" allowOverlap="1">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sidR="002178AC">
      <w:rPr>
        <w:b/>
        <w:noProof/>
        <w:sz w:val="24"/>
        <w:szCs w:val="24"/>
        <w:lang w:eastAsia="en-GB"/>
      </w:rPr>
      <mc:AlternateContent>
        <mc:Choice Requires="wps">
          <w:drawing>
            <wp:anchor distT="4294967295" distB="4294967295" distL="114300" distR="114300" simplePos="0" relativeHeight="251659264" behindDoc="0" locked="0" layoutInCell="1" allowOverlap="1">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D1AA069"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sidR="00201AC2">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5071055"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61464D"/>
    <w:multiLevelType w:val="hybridMultilevel"/>
    <w:tmpl w:val="95126C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BAE3546"/>
    <w:multiLevelType w:val="hybridMultilevel"/>
    <w:tmpl w:val="02E431D2"/>
    <w:lvl w:ilvl="0" w:tplc="E4D8C69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E1E1892"/>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7F694307"/>
    <w:multiLevelType w:val="hybridMultilevel"/>
    <w:tmpl w:val="84DEAF22"/>
    <w:lvl w:ilvl="0" w:tplc="1982DD4C">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
  </w:num>
  <w:num w:numId="2">
    <w:abstractNumId w:val="5"/>
  </w:num>
  <w:num w:numId="3">
    <w:abstractNumId w:val="3"/>
  </w:num>
  <w:num w:numId="4">
    <w:abstractNumId w:val="0"/>
  </w:num>
  <w:num w:numId="5">
    <w:abstractNumId w:val="2"/>
  </w:num>
  <w:num w:numId="6">
    <w:abstractNumId w:val="1"/>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427C0C"/>
    <w:rsid w:val="00015578"/>
    <w:rsid w:val="00024731"/>
    <w:rsid w:val="00026DEC"/>
    <w:rsid w:val="00040199"/>
    <w:rsid w:val="000505CA"/>
    <w:rsid w:val="0007651D"/>
    <w:rsid w:val="0009089A"/>
    <w:rsid w:val="00091B44"/>
    <w:rsid w:val="000947E2"/>
    <w:rsid w:val="00095E04"/>
    <w:rsid w:val="000B473B"/>
    <w:rsid w:val="000D0E89"/>
    <w:rsid w:val="000E2689"/>
    <w:rsid w:val="000E5E0B"/>
    <w:rsid w:val="000F28B4"/>
    <w:rsid w:val="00142613"/>
    <w:rsid w:val="00144DA7"/>
    <w:rsid w:val="00150D91"/>
    <w:rsid w:val="0015356E"/>
    <w:rsid w:val="00161D3F"/>
    <w:rsid w:val="001915D4"/>
    <w:rsid w:val="00194675"/>
    <w:rsid w:val="001A1FED"/>
    <w:rsid w:val="001A40E2"/>
    <w:rsid w:val="001C4334"/>
    <w:rsid w:val="001C4805"/>
    <w:rsid w:val="001E4A3C"/>
    <w:rsid w:val="00201AC2"/>
    <w:rsid w:val="00214608"/>
    <w:rsid w:val="002178AC"/>
    <w:rsid w:val="0022547C"/>
    <w:rsid w:val="0025410A"/>
    <w:rsid w:val="0027553E"/>
    <w:rsid w:val="0028012F"/>
    <w:rsid w:val="002828DF"/>
    <w:rsid w:val="00287876"/>
    <w:rsid w:val="00292C53"/>
    <w:rsid w:val="00294E22"/>
    <w:rsid w:val="002C22EA"/>
    <w:rsid w:val="002C59BA"/>
    <w:rsid w:val="002F41B2"/>
    <w:rsid w:val="00301AA9"/>
    <w:rsid w:val="003117F6"/>
    <w:rsid w:val="003315D3"/>
    <w:rsid w:val="00333311"/>
    <w:rsid w:val="003506E2"/>
    <w:rsid w:val="003533B8"/>
    <w:rsid w:val="003752BE"/>
    <w:rsid w:val="003A346A"/>
    <w:rsid w:val="003A50A4"/>
    <w:rsid w:val="003B2917"/>
    <w:rsid w:val="003B541B"/>
    <w:rsid w:val="003C3D99"/>
    <w:rsid w:val="003E24A9"/>
    <w:rsid w:val="003E2B2F"/>
    <w:rsid w:val="003E6046"/>
    <w:rsid w:val="003F16F9"/>
    <w:rsid w:val="004032EA"/>
    <w:rsid w:val="00427C0C"/>
    <w:rsid w:val="00430C1F"/>
    <w:rsid w:val="00431AED"/>
    <w:rsid w:val="00437674"/>
    <w:rsid w:val="00442595"/>
    <w:rsid w:val="0045323E"/>
    <w:rsid w:val="004B0EE1"/>
    <w:rsid w:val="004D03FD"/>
    <w:rsid w:val="004D0D83"/>
    <w:rsid w:val="004D5234"/>
    <w:rsid w:val="004E1DF1"/>
    <w:rsid w:val="004E5592"/>
    <w:rsid w:val="0050055B"/>
    <w:rsid w:val="00524710"/>
    <w:rsid w:val="00546980"/>
    <w:rsid w:val="00555342"/>
    <w:rsid w:val="005560E2"/>
    <w:rsid w:val="005908A7"/>
    <w:rsid w:val="005A452E"/>
    <w:rsid w:val="005A6EE7"/>
    <w:rsid w:val="005D59BC"/>
    <w:rsid w:val="005E07F2"/>
    <w:rsid w:val="005F1A7B"/>
    <w:rsid w:val="006074E7"/>
    <w:rsid w:val="006355D8"/>
    <w:rsid w:val="00641A9B"/>
    <w:rsid w:val="00642ECD"/>
    <w:rsid w:val="006502A0"/>
    <w:rsid w:val="006772F5"/>
    <w:rsid w:val="006A4440"/>
    <w:rsid w:val="006B0615"/>
    <w:rsid w:val="006B1690"/>
    <w:rsid w:val="006D166B"/>
    <w:rsid w:val="006F3279"/>
    <w:rsid w:val="00704AEE"/>
    <w:rsid w:val="00713853"/>
    <w:rsid w:val="00722F9A"/>
    <w:rsid w:val="00725106"/>
    <w:rsid w:val="00754539"/>
    <w:rsid w:val="00781BC6"/>
    <w:rsid w:val="007A3C86"/>
    <w:rsid w:val="007A683E"/>
    <w:rsid w:val="007A748B"/>
    <w:rsid w:val="007D1D65"/>
    <w:rsid w:val="007E0A9E"/>
    <w:rsid w:val="007E5309"/>
    <w:rsid w:val="00800549"/>
    <w:rsid w:val="00800DE1"/>
    <w:rsid w:val="00806B12"/>
    <w:rsid w:val="00813F47"/>
    <w:rsid w:val="008450D6"/>
    <w:rsid w:val="00856FCA"/>
    <w:rsid w:val="00873B8C"/>
    <w:rsid w:val="008767A5"/>
    <w:rsid w:val="00880E3B"/>
    <w:rsid w:val="00891369"/>
    <w:rsid w:val="008A405F"/>
    <w:rsid w:val="008C7F34"/>
    <w:rsid w:val="008E580C"/>
    <w:rsid w:val="0090047A"/>
    <w:rsid w:val="009158ED"/>
    <w:rsid w:val="00925026"/>
    <w:rsid w:val="00931264"/>
    <w:rsid w:val="00942A4B"/>
    <w:rsid w:val="00946D16"/>
    <w:rsid w:val="00950337"/>
    <w:rsid w:val="00961D59"/>
    <w:rsid w:val="00972187"/>
    <w:rsid w:val="009B2D55"/>
    <w:rsid w:val="009C0343"/>
    <w:rsid w:val="009E0D11"/>
    <w:rsid w:val="00A070FC"/>
    <w:rsid w:val="00A24A16"/>
    <w:rsid w:val="00A37D14"/>
    <w:rsid w:val="00A40324"/>
    <w:rsid w:val="00A52755"/>
    <w:rsid w:val="00A6111E"/>
    <w:rsid w:val="00A6168B"/>
    <w:rsid w:val="00A62028"/>
    <w:rsid w:val="00A66D23"/>
    <w:rsid w:val="00A744C6"/>
    <w:rsid w:val="00A82D25"/>
    <w:rsid w:val="00AA6236"/>
    <w:rsid w:val="00AB6AE7"/>
    <w:rsid w:val="00AD21F5"/>
    <w:rsid w:val="00AD5BDE"/>
    <w:rsid w:val="00B06225"/>
    <w:rsid w:val="00B138DA"/>
    <w:rsid w:val="00B23B31"/>
    <w:rsid w:val="00B23C7A"/>
    <w:rsid w:val="00B305F5"/>
    <w:rsid w:val="00B46FF9"/>
    <w:rsid w:val="00B723DC"/>
    <w:rsid w:val="00B726C9"/>
    <w:rsid w:val="00B75483"/>
    <w:rsid w:val="00BA7952"/>
    <w:rsid w:val="00BB44B4"/>
    <w:rsid w:val="00BF0BBF"/>
    <w:rsid w:val="00BF6C8A"/>
    <w:rsid w:val="00C05571"/>
    <w:rsid w:val="00C246CE"/>
    <w:rsid w:val="00C56265"/>
    <w:rsid w:val="00C57FA2"/>
    <w:rsid w:val="00C667A0"/>
    <w:rsid w:val="00C70BA8"/>
    <w:rsid w:val="00C80257"/>
    <w:rsid w:val="00CC2E4D"/>
    <w:rsid w:val="00CC44E7"/>
    <w:rsid w:val="00CC78A5"/>
    <w:rsid w:val="00CC7B16"/>
    <w:rsid w:val="00CE15FE"/>
    <w:rsid w:val="00D02E15"/>
    <w:rsid w:val="00D14F44"/>
    <w:rsid w:val="00D278E8"/>
    <w:rsid w:val="00D421E8"/>
    <w:rsid w:val="00D44604"/>
    <w:rsid w:val="00D479B3"/>
    <w:rsid w:val="00D52283"/>
    <w:rsid w:val="00D524E5"/>
    <w:rsid w:val="00D72FEF"/>
    <w:rsid w:val="00D755FA"/>
    <w:rsid w:val="00DC3D50"/>
    <w:rsid w:val="00DC4A4E"/>
    <w:rsid w:val="00DD1874"/>
    <w:rsid w:val="00DD63BD"/>
    <w:rsid w:val="00E172C6"/>
    <w:rsid w:val="00E24309"/>
    <w:rsid w:val="00E53D82"/>
    <w:rsid w:val="00E610E5"/>
    <w:rsid w:val="00E9330A"/>
    <w:rsid w:val="00EA472E"/>
    <w:rsid w:val="00EE6B97"/>
    <w:rsid w:val="00F12C3B"/>
    <w:rsid w:val="00F26884"/>
    <w:rsid w:val="00F5411F"/>
    <w:rsid w:val="00F5490A"/>
    <w:rsid w:val="00F72ECC"/>
    <w:rsid w:val="00F8355F"/>
    <w:rsid w:val="00FA1837"/>
    <w:rsid w:val="00FA31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74EF2161"/>
  <w14:defaultImageDpi w14:val="330"/>
  <w15:docId w15:val="{6F842B62-A47D-4EB1-9BBD-40DDADCDBF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customStyle="1" w:styleId="EndNoteBibliographyTitle">
    <w:name w:val="EndNote Bibliography Title"/>
    <w:basedOn w:val="Normal"/>
    <w:link w:val="EndNoteBibliographyTitleChar"/>
    <w:rsid w:val="00A070FC"/>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A070FC"/>
    <w:rPr>
      <w:rFonts w:ascii="Calibri" w:hAnsi="Calibri" w:cs="Calibri"/>
      <w:noProof/>
      <w:lang w:val="en-US"/>
    </w:rPr>
  </w:style>
  <w:style w:type="paragraph" w:customStyle="1" w:styleId="EndNoteBibliography">
    <w:name w:val="EndNote Bibliography"/>
    <w:basedOn w:val="Normal"/>
    <w:link w:val="EndNoteBibliographyChar"/>
    <w:rsid w:val="00A070FC"/>
    <w:rPr>
      <w:rFonts w:ascii="Calibri" w:hAnsi="Calibri" w:cs="Calibri"/>
      <w:noProof/>
      <w:lang w:val="en-US"/>
    </w:rPr>
  </w:style>
  <w:style w:type="character" w:customStyle="1" w:styleId="EndNoteBibliographyChar">
    <w:name w:val="EndNote Bibliography Char"/>
    <w:basedOn w:val="DefaultParagraphFont"/>
    <w:link w:val="EndNoteBibliography"/>
    <w:rsid w:val="00A070FC"/>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png"/><Relationship Id="rId1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Biology%20templates\template_biology_item_respons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template_biology_item_response.dotx</Template>
  <TotalTime>204</TotalTime>
  <Pages>4</Pages>
  <Words>2397</Words>
  <Characters>13667</Characters>
  <Application>Microsoft Office Word</Application>
  <DocSecurity>0</DocSecurity>
  <Lines>113</Lines>
  <Paragraphs>32</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16032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Alistair Moore</dc:creator>
  <cp:lastModifiedBy>Alistair Moore</cp:lastModifiedBy>
  <cp:revision>32</cp:revision>
  <cp:lastPrinted>2017-02-24T16:20:00Z</cp:lastPrinted>
  <dcterms:created xsi:type="dcterms:W3CDTF">2019-03-10T11:10:00Z</dcterms:created>
  <dcterms:modified xsi:type="dcterms:W3CDTF">2019-03-28T14:54:00Z</dcterms:modified>
</cp:coreProperties>
</file>